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NAESB </w:t>
      </w:r>
      <w:r w:rsidR="00B4140A">
        <w:t>Deputy Director</w:t>
      </w:r>
    </w:p>
    <w:p w14:paraId="2237358A" w14:textId="6E659FC1"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B5364E">
        <w:t>June 1</w:t>
      </w:r>
      <w:r w:rsidR="008A59F3">
        <w:t>,</w:t>
      </w:r>
      <w:r w:rsidR="00891BC4">
        <w:t xml:space="preserve"> 2022</w:t>
      </w:r>
    </w:p>
    <w:p w14:paraId="3B0DC11B" w14:textId="27E3503A" w:rsidR="004B30D7" w:rsidRDefault="00AA0FFD" w:rsidP="00DF7719">
      <w:pPr>
        <w:pBdr>
          <w:bottom w:val="single" w:sz="4" w:space="1" w:color="auto"/>
        </w:pBdr>
        <w:spacing w:after="60"/>
        <w:ind w:left="900" w:hanging="900"/>
      </w:pPr>
      <w:r>
        <w:rPr>
          <w:b/>
        </w:rPr>
        <w:t>DATE:</w:t>
      </w:r>
      <w:r w:rsidR="006C3EF1">
        <w:tab/>
      </w:r>
      <w:r w:rsidR="00B5364E">
        <w:t>May 1</w:t>
      </w:r>
      <w:r w:rsidR="008F74D2">
        <w:t>3</w:t>
      </w:r>
      <w:r w:rsidR="008A59F3">
        <w:t>,</w:t>
      </w:r>
      <w:r w:rsidR="00C75115">
        <w:t xml:space="preserve">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70AB268D" w14:textId="77025031" w:rsidR="00891BC4" w:rsidRDefault="008A59F3" w:rsidP="006C7FC3">
      <w:pPr>
        <w:tabs>
          <w:tab w:val="num" w:pos="2160"/>
        </w:tabs>
        <w:spacing w:before="120"/>
        <w:jc w:val="both"/>
      </w:pPr>
      <w:r>
        <w:t>As previously announced, the</w:t>
      </w:r>
      <w:r w:rsidR="002E57F5">
        <w:t xml:space="preserve"> WEQ BPS has scheduled a meeting for Wednesday, </w:t>
      </w:r>
      <w:r w:rsidR="00B5364E">
        <w:t>June 1</w:t>
      </w:r>
      <w:r w:rsidR="00891BC4">
        <w:t>, 2022</w:t>
      </w:r>
      <w:r w:rsidR="002E57F5">
        <w:t xml:space="preserve"> from 1</w:t>
      </w:r>
      <w:r w:rsidR="00C75115">
        <w:t>0</w:t>
      </w:r>
      <w:r w:rsidR="002E57F5">
        <w:t xml:space="preserve">:00 </w:t>
      </w:r>
      <w:r w:rsidR="00C75115">
        <w:t xml:space="preserve">AM </w:t>
      </w:r>
      <w:r w:rsidR="002E57F5">
        <w:t xml:space="preserve">– 4:00 PM Central.  </w:t>
      </w:r>
      <w:r w:rsidR="00C75115">
        <w:t xml:space="preserve">During the meeting, between 10:00 AM – 12:00 PM Central, the participants will continue to discuss </w:t>
      </w:r>
      <w:r w:rsidR="005E7F20">
        <w:t xml:space="preserve">the proposed </w:t>
      </w:r>
      <w:r w:rsidR="00C75115">
        <w:t>potential modifications</w:t>
      </w:r>
      <w:r w:rsidR="00611F5F">
        <w:t xml:space="preserve"> to the WEQ-023 Modeling Business Practice Standards </w:t>
      </w:r>
      <w:r w:rsidR="00C75115">
        <w:t xml:space="preserve">as part of 2022 WEQ Annual Plan Item 2 to support directives contained in FERC Order No. 676-J.  </w:t>
      </w:r>
      <w:r w:rsidR="00F56C78">
        <w:t xml:space="preserve">As part of the afternoon session, between 1:00 – 4:00 PM Central, the participants will </w:t>
      </w:r>
      <w:r w:rsidR="00B5364E">
        <w:t xml:space="preserve">discuss 2022 WEQ Annual Plan Item 7.b (create standard designations of critical electric infrastructure facilities during impending extreme weather-related emergency operating conditions consistent with other industry designations) as well as </w:t>
      </w:r>
      <w:r w:rsidR="00F56C78">
        <w:t xml:space="preserve">continue to </w:t>
      </w:r>
      <w:r w:rsidR="00742CAD">
        <w:t xml:space="preserve">address of 2022 WEQ Annual Plan Item 6 by drafting standards to support the communication of data necessary for the registration of </w:t>
      </w:r>
      <w:r w:rsidR="00F56C78">
        <w:t>distributed energy resources (DER) and DER aggregations</w:t>
      </w:r>
      <w:r w:rsidR="00742CAD">
        <w:t>.</w:t>
      </w:r>
      <w:r w:rsidR="00DC5F75">
        <w:t xml:space="preserve">  </w:t>
      </w:r>
    </w:p>
    <w:p w14:paraId="21C91EAD" w14:textId="2D577357" w:rsidR="007A4DF7" w:rsidRDefault="007A4DF7" w:rsidP="006C7FC3">
      <w:pPr>
        <w:tabs>
          <w:tab w:val="num" w:pos="2160"/>
        </w:tabs>
        <w:spacing w:before="120"/>
        <w:jc w:val="both"/>
      </w:pPr>
      <w:r>
        <w:t xml:space="preserve">Please note that an additional meeting of the subcommittee has been scheduled for Wednesday, </w:t>
      </w:r>
      <w:r w:rsidR="00B5364E">
        <w:t>July 6</w:t>
      </w:r>
      <w:r>
        <w:t>, 2022 from 1</w:t>
      </w:r>
      <w:r w:rsidR="00AC71FC">
        <w:t>0</w:t>
      </w:r>
      <w:r>
        <w:t xml:space="preserve">:00 </w:t>
      </w:r>
      <w:r w:rsidR="00AC71FC">
        <w:t xml:space="preserve">AM </w:t>
      </w:r>
      <w:r>
        <w:t xml:space="preserve">– 4:00 PM Central.  An agenda for this meeting will be posted and distributed following the </w:t>
      </w:r>
      <w:r w:rsidR="00F60673">
        <w:t>June 1</w:t>
      </w:r>
      <w:r>
        <w:t xml:space="preserve"> meeting.</w:t>
      </w:r>
    </w:p>
    <w:p w14:paraId="560BEF9C" w14:textId="0C162A20" w:rsidR="00C055E7" w:rsidRDefault="008B615A" w:rsidP="001A6AA1">
      <w:pPr>
        <w:spacing w:before="120" w:after="120"/>
        <w:jc w:val="both"/>
      </w:pPr>
      <w:r>
        <w:t>As with all NAESB meetings, this meeting is open to any interested party regardless of membership status within NAESB.</w:t>
      </w:r>
      <w:bookmarkStart w:id="1" w:name="_Hlk90554711"/>
      <w:r w:rsidR="001A6AA1">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00D377AC" w:rsidR="00DE63A7" w:rsidRDefault="00FD5B36" w:rsidP="00DE63A7">
      <w:pPr>
        <w:keepNext/>
        <w:jc w:val="center"/>
        <w:outlineLvl w:val="2"/>
        <w:rPr>
          <w:b/>
        </w:rPr>
      </w:pPr>
      <w:r>
        <w:rPr>
          <w:b/>
        </w:rPr>
        <w:t>June 1</w:t>
      </w:r>
      <w:r w:rsidR="006850EE">
        <w:rPr>
          <w:b/>
        </w:rPr>
        <w:t>, 2022</w:t>
      </w:r>
      <w:r w:rsidR="00A159FF">
        <w:rPr>
          <w:b/>
        </w:rPr>
        <w:t xml:space="preserve"> – </w:t>
      </w:r>
      <w:r w:rsidR="002B5C0B">
        <w:rPr>
          <w:b/>
        </w:rPr>
        <w:t>1</w:t>
      </w:r>
      <w:r w:rsidR="00DC5F75">
        <w:rPr>
          <w:b/>
        </w:rPr>
        <w:t>0</w:t>
      </w:r>
      <w:r w:rsidR="002B5C0B">
        <w:rPr>
          <w:b/>
        </w:rPr>
        <w:t xml:space="preserve">:00 </w:t>
      </w:r>
      <w:r w:rsidR="00DC5F75">
        <w:rPr>
          <w:b/>
        </w:rPr>
        <w:t>A</w:t>
      </w:r>
      <w:r w:rsidR="002B5C0B">
        <w:rPr>
          <w:b/>
        </w:rPr>
        <w:t>M</w:t>
      </w:r>
      <w:r w:rsidR="00F130E9">
        <w:rPr>
          <w:b/>
        </w:rPr>
        <w:t xml:space="preserve"> to</w:t>
      </w:r>
      <w:r w:rsidR="002F5307">
        <w:rPr>
          <w:b/>
        </w:rPr>
        <w:t xml:space="preserve"> </w:t>
      </w:r>
      <w:r w:rsidR="002B5C0B">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230C05"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58622D67" w:rsidR="00EF001F" w:rsidRDefault="00FD5B36" w:rsidP="002855E4">
      <w:pPr>
        <w:numPr>
          <w:ilvl w:val="1"/>
          <w:numId w:val="2"/>
        </w:numPr>
        <w:tabs>
          <w:tab w:val="clear" w:pos="1800"/>
          <w:tab w:val="num" w:pos="1350"/>
        </w:tabs>
        <w:ind w:hanging="540"/>
        <w:jc w:val="both"/>
      </w:pPr>
      <w:r>
        <w:t>May 4</w:t>
      </w:r>
      <w:r w:rsidR="00F4452A">
        <w:t>, 2022</w:t>
      </w:r>
    </w:p>
    <w:p w14:paraId="4EE9EEFA" w14:textId="0980238A" w:rsidR="00F4452A" w:rsidRDefault="00F4452A" w:rsidP="00F4452A">
      <w:pPr>
        <w:numPr>
          <w:ilvl w:val="0"/>
          <w:numId w:val="1"/>
        </w:numPr>
        <w:tabs>
          <w:tab w:val="num" w:pos="720"/>
          <w:tab w:val="num" w:pos="1620"/>
        </w:tabs>
        <w:spacing w:before="120"/>
        <w:ind w:left="720"/>
        <w:jc w:val="both"/>
      </w:pPr>
      <w:r>
        <w:t>Continue to Discuss 2022 WEQ Annual Plan Items 2.a and 2.b – 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w:t>
      </w:r>
    </w:p>
    <w:p w14:paraId="23E611CE" w14:textId="53513524" w:rsidR="00DC5F75" w:rsidRDefault="005B2A57" w:rsidP="00DC5F75">
      <w:pPr>
        <w:pStyle w:val="ListParagraph"/>
        <w:numPr>
          <w:ilvl w:val="0"/>
          <w:numId w:val="7"/>
        </w:numPr>
        <w:tabs>
          <w:tab w:val="num" w:pos="2160"/>
        </w:tabs>
        <w:spacing w:before="120"/>
        <w:jc w:val="both"/>
      </w:pPr>
      <w:r>
        <w:t>Continue to discuss</w:t>
      </w:r>
      <w:r w:rsidR="008C6E1C">
        <w:t xml:space="preserve"> potential draft standards language</w:t>
      </w:r>
    </w:p>
    <w:p w14:paraId="6EAF56F8" w14:textId="5BB7FDA0" w:rsidR="00B5364E" w:rsidRPr="00B5364E" w:rsidRDefault="00B5364E" w:rsidP="006A3F59">
      <w:pPr>
        <w:numPr>
          <w:ilvl w:val="0"/>
          <w:numId w:val="1"/>
        </w:numPr>
        <w:tabs>
          <w:tab w:val="num" w:pos="720"/>
          <w:tab w:val="num" w:pos="1620"/>
        </w:tabs>
        <w:spacing w:before="120"/>
        <w:ind w:left="720"/>
        <w:jc w:val="both"/>
      </w:pPr>
      <w:r>
        <w:t xml:space="preserve">Discuss 2022 WEQ Annual Plan Item 7.b – </w:t>
      </w:r>
      <w:r w:rsidRPr="00B5364E">
        <w:t>Create standard designations of critical electric infrastructure facilities during impending extreme weather-related emergency operating conditions consistent with other industry designations</w:t>
      </w:r>
    </w:p>
    <w:p w14:paraId="727279DA" w14:textId="13E00F65" w:rsidR="00E92213" w:rsidRDefault="00E92213" w:rsidP="006A3F59">
      <w:pPr>
        <w:numPr>
          <w:ilvl w:val="0"/>
          <w:numId w:val="1"/>
        </w:numPr>
        <w:tabs>
          <w:tab w:val="num" w:pos="720"/>
          <w:tab w:val="num" w:pos="1620"/>
        </w:tabs>
        <w:spacing w:before="120"/>
        <w:ind w:left="720"/>
        <w:jc w:val="both"/>
      </w:pPr>
      <w:r>
        <w:t>Continue to Discuss 202</w:t>
      </w:r>
      <w:r w:rsidR="006850EE">
        <w:t>2</w:t>
      </w:r>
      <w:r>
        <w:t xml:space="preserve"> WEQ Annual Plan Item </w:t>
      </w:r>
      <w:r w:rsidR="006850EE">
        <w:t>6</w:t>
      </w:r>
      <w:r>
        <w:t xml:space="preserve"> – Develop and/or modify standards for information and reporting requirements to support battery storage/energy storage and, more broadly, distributed energy resources in front and behind the meter</w:t>
      </w:r>
      <w:r w:rsidR="00D47A7B">
        <w:t xml:space="preserve"> </w:t>
      </w:r>
    </w:p>
    <w:p w14:paraId="79D19BE6" w14:textId="4A1B0448" w:rsidR="006850EE" w:rsidRDefault="00DC5F75" w:rsidP="00E92213">
      <w:pPr>
        <w:pStyle w:val="ListParagraph"/>
        <w:numPr>
          <w:ilvl w:val="0"/>
          <w:numId w:val="6"/>
        </w:numPr>
        <w:tabs>
          <w:tab w:val="num" w:pos="2160"/>
        </w:tabs>
        <w:spacing w:before="120"/>
        <w:jc w:val="both"/>
      </w:pPr>
      <w:r>
        <w:t xml:space="preserve">Continue </w:t>
      </w:r>
      <w:r w:rsidR="005B2A57">
        <w:t>to draft</w:t>
      </w:r>
      <w:r w:rsidR="006850EE">
        <w:t xml:space="preserve"> standards to support the communication of such data between relevant parties</w:t>
      </w:r>
      <w:r>
        <w:t xml:space="preserve"> </w:t>
      </w:r>
    </w:p>
    <w:p w14:paraId="6A4909A3" w14:textId="60883488" w:rsidR="00E92213" w:rsidRDefault="00F4452A" w:rsidP="00E92213">
      <w:pPr>
        <w:pStyle w:val="ListParagraph"/>
        <w:numPr>
          <w:ilvl w:val="0"/>
          <w:numId w:val="6"/>
        </w:numPr>
        <w:tabs>
          <w:tab w:val="num" w:pos="2160"/>
        </w:tabs>
        <w:spacing w:before="120"/>
        <w:jc w:val="both"/>
      </w:pPr>
      <w:r>
        <w:t>Dis</w:t>
      </w:r>
      <w:r w:rsidR="00DC5F75">
        <w:t>c</w:t>
      </w:r>
      <w:r>
        <w:t>uss</w:t>
      </w:r>
      <w:r w:rsidR="006850EE">
        <w:t xml:space="preserve"> additional uses cases that should be addressed as part of this effort</w:t>
      </w:r>
    </w:p>
    <w:p w14:paraId="7550F5FA" w14:textId="604D4BA1" w:rsidR="004B30D7" w:rsidRDefault="00B5776E" w:rsidP="002855E4">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17265E03" w14:textId="50C1880B" w:rsidR="0073513A" w:rsidRPr="00F4452A" w:rsidRDefault="00F4452A" w:rsidP="006850EE">
      <w:pPr>
        <w:pStyle w:val="ListParagraph"/>
        <w:numPr>
          <w:ilvl w:val="1"/>
          <w:numId w:val="5"/>
        </w:numPr>
        <w:tabs>
          <w:tab w:val="left" w:pos="1440"/>
        </w:tabs>
        <w:spacing w:before="120"/>
        <w:jc w:val="both"/>
      </w:pPr>
      <w:r>
        <w:t>Wednesday</w:t>
      </w:r>
      <w:r w:rsidR="0073513A" w:rsidRPr="00F4452A">
        <w:t>, July 6, 2022 from 1</w:t>
      </w:r>
      <w:r w:rsidR="00BD5170">
        <w:t>0</w:t>
      </w:r>
      <w:r w:rsidR="0073513A" w:rsidRPr="00F4452A">
        <w:t xml:space="preserve">:00 </w:t>
      </w:r>
      <w:r w:rsidR="005B2A57">
        <w:t xml:space="preserve">AM </w:t>
      </w:r>
      <w:r w:rsidR="0073513A" w:rsidRPr="00F4452A">
        <w:t>–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3FF5" w14:textId="77777777" w:rsidR="00230C05" w:rsidRDefault="00230C05">
      <w:r>
        <w:separator/>
      </w:r>
    </w:p>
  </w:endnote>
  <w:endnote w:type="continuationSeparator" w:id="0">
    <w:p w14:paraId="3BBA8B5F" w14:textId="77777777" w:rsidR="00230C05" w:rsidRDefault="0023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5FACBD0"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B5364E">
      <w:rPr>
        <w:sz w:val="18"/>
        <w:szCs w:val="18"/>
      </w:rPr>
      <w:t>June 1</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B883" w14:textId="77777777" w:rsidR="00230C05" w:rsidRDefault="00230C05">
      <w:r>
        <w:separator/>
      </w:r>
    </w:p>
  </w:footnote>
  <w:footnote w:type="continuationSeparator" w:id="0">
    <w:p w14:paraId="7232FF9B" w14:textId="77777777" w:rsidR="00230C05" w:rsidRDefault="0023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5EF8122D"/>
    <w:multiLevelType w:val="hybridMultilevel"/>
    <w:tmpl w:val="E5C0BE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3"/>
  </w:num>
  <w:num w:numId="2" w16cid:durableId="1581407324">
    <w:abstractNumId w:val="1"/>
  </w:num>
  <w:num w:numId="3" w16cid:durableId="1666010054">
    <w:abstractNumId w:val="6"/>
  </w:num>
  <w:num w:numId="4" w16cid:durableId="1585870341">
    <w:abstractNumId w:val="0"/>
  </w:num>
  <w:num w:numId="5" w16cid:durableId="2008551603">
    <w:abstractNumId w:val="4"/>
  </w:num>
  <w:num w:numId="6" w16cid:durableId="497040260">
    <w:abstractNumId w:val="2"/>
  </w:num>
  <w:num w:numId="7" w16cid:durableId="16847423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D2255"/>
    <w:rsid w:val="000D3213"/>
    <w:rsid w:val="000D3AF1"/>
    <w:rsid w:val="000D45BA"/>
    <w:rsid w:val="000D4DEE"/>
    <w:rsid w:val="000D4EF0"/>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6AA1"/>
    <w:rsid w:val="001B0E56"/>
    <w:rsid w:val="001C5746"/>
    <w:rsid w:val="001E6347"/>
    <w:rsid w:val="001E7000"/>
    <w:rsid w:val="001F2DEA"/>
    <w:rsid w:val="001F330A"/>
    <w:rsid w:val="001F36A4"/>
    <w:rsid w:val="001F6E09"/>
    <w:rsid w:val="002024BB"/>
    <w:rsid w:val="00211014"/>
    <w:rsid w:val="00211EAF"/>
    <w:rsid w:val="00217F01"/>
    <w:rsid w:val="0022416C"/>
    <w:rsid w:val="00230C05"/>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404C"/>
    <w:rsid w:val="00596897"/>
    <w:rsid w:val="005A03E0"/>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22DA0"/>
    <w:rsid w:val="00824336"/>
    <w:rsid w:val="0083320F"/>
    <w:rsid w:val="00837F1D"/>
    <w:rsid w:val="0084155F"/>
    <w:rsid w:val="00844857"/>
    <w:rsid w:val="00851DA7"/>
    <w:rsid w:val="00855396"/>
    <w:rsid w:val="00865BEF"/>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450DC"/>
    <w:rsid w:val="00A47C81"/>
    <w:rsid w:val="00A519FB"/>
    <w:rsid w:val="00A51A7A"/>
    <w:rsid w:val="00A54030"/>
    <w:rsid w:val="00A5692D"/>
    <w:rsid w:val="00A6468D"/>
    <w:rsid w:val="00A653BB"/>
    <w:rsid w:val="00A67B31"/>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2750"/>
    <w:rsid w:val="00D61CE2"/>
    <w:rsid w:val="00D71176"/>
    <w:rsid w:val="00D72E6B"/>
    <w:rsid w:val="00D741CB"/>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3EC8"/>
    <w:rsid w:val="00EE7130"/>
    <w:rsid w:val="00EE7755"/>
    <w:rsid w:val="00EF001F"/>
    <w:rsid w:val="00EF2C07"/>
    <w:rsid w:val="00EF398C"/>
    <w:rsid w:val="00EF3F0C"/>
    <w:rsid w:val="00F1090F"/>
    <w:rsid w:val="00F130E9"/>
    <w:rsid w:val="00F16A32"/>
    <w:rsid w:val="00F3195B"/>
    <w:rsid w:val="00F433B8"/>
    <w:rsid w:val="00F4452A"/>
    <w:rsid w:val="00F46664"/>
    <w:rsid w:val="00F54B57"/>
    <w:rsid w:val="00F56C78"/>
    <w:rsid w:val="00F60673"/>
    <w:rsid w:val="00F61CE3"/>
    <w:rsid w:val="00F768F7"/>
    <w:rsid w:val="00F824D6"/>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5424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2022-05-13T15:09:00Z</dcterms:created>
  <dcterms:modified xsi:type="dcterms:W3CDTF">2022-05-13T15:09:00Z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