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141B" w14:textId="43143FA9" w:rsidR="00236039" w:rsidRPr="0023603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Wholesale Gas Quadrant (WGQ) Members, </w:t>
      </w:r>
      <w:r w:rsidR="006679D1" w:rsidRPr="00057BE8">
        <w:t xml:space="preserve">and </w:t>
      </w:r>
      <w:r w:rsidR="001500CE">
        <w:t xml:space="preserve">posted </w:t>
      </w:r>
      <w:r w:rsidR="006679D1" w:rsidRPr="00057BE8">
        <w:t>other Interested Industry Parties</w:t>
      </w:r>
    </w:p>
    <w:p w14:paraId="1EF3394F" w14:textId="3D8DBA3C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0D7D17">
        <w:t>Elizabeth Mallett</w:t>
      </w:r>
      <w:r w:rsidR="00161928">
        <w:t xml:space="preserve"> </w:t>
      </w:r>
      <w:r w:rsidR="000D7D17">
        <w:t xml:space="preserve">and </w:t>
      </w:r>
      <w:r w:rsidR="0066174F">
        <w:rPr>
          <w:bCs/>
        </w:rPr>
        <w:t>Caroline Trum, NAESB Deputy Director</w:t>
      </w:r>
      <w:r w:rsidR="00161928">
        <w:rPr>
          <w:bCs/>
        </w:rPr>
        <w:t>s</w:t>
      </w:r>
    </w:p>
    <w:p w14:paraId="73EA5BF2" w14:textId="31254ECF" w:rsid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 xml:space="preserve">Conference Call of the NAESB </w:t>
      </w:r>
      <w:r w:rsidR="000D7D17">
        <w:rPr>
          <w:bCs/>
        </w:rPr>
        <w:t>RMQ and WEQ</w:t>
      </w:r>
      <w:r w:rsidR="007322A9">
        <w:rPr>
          <w:bCs/>
        </w:rPr>
        <w:t xml:space="preserve"> </w:t>
      </w:r>
      <w:r w:rsidR="000D7D17">
        <w:rPr>
          <w:bCs/>
        </w:rPr>
        <w:t>Business Practices Subcommittees</w:t>
      </w:r>
      <w:r w:rsidR="00135120">
        <w:rPr>
          <w:bCs/>
        </w:rPr>
        <w:t xml:space="preserve"> – </w:t>
      </w:r>
      <w:r w:rsidR="000D7D17">
        <w:rPr>
          <w:bCs/>
        </w:rPr>
        <w:t>December 4, 2019</w:t>
      </w:r>
    </w:p>
    <w:p w14:paraId="17FC4A0E" w14:textId="3E166ED0" w:rsidR="000D7D17" w:rsidRPr="00236039" w:rsidRDefault="000D7D17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>
        <w:rPr>
          <w:b/>
          <w:bCs/>
        </w:rPr>
        <w:t>DATE:</w:t>
      </w:r>
      <w:r>
        <w:rPr>
          <w:bCs/>
        </w:rPr>
        <w:tab/>
      </w:r>
      <w:r w:rsidRPr="002C6CE2">
        <w:rPr>
          <w:bCs/>
        </w:rPr>
        <w:t xml:space="preserve">November </w:t>
      </w:r>
      <w:r w:rsidR="002C6CE2" w:rsidRPr="002C6CE2">
        <w:rPr>
          <w:bCs/>
        </w:rPr>
        <w:t>7</w:t>
      </w:r>
      <w:r w:rsidRPr="002C6CE2">
        <w:rPr>
          <w:bCs/>
        </w:rPr>
        <w:t>, 2019</w:t>
      </w:r>
    </w:p>
    <w:bookmarkEnd w:id="0"/>
    <w:p w14:paraId="47E389AD" w14:textId="77777777" w:rsidR="000D7D17" w:rsidRDefault="0066174F" w:rsidP="005772AE">
      <w:pPr>
        <w:tabs>
          <w:tab w:val="left" w:pos="0"/>
          <w:tab w:val="left" w:pos="3920"/>
        </w:tabs>
        <w:spacing w:before="120" w:after="120"/>
      </w:pPr>
      <w:r>
        <w:t xml:space="preserve">Dear </w:t>
      </w:r>
      <w:r w:rsidR="000D7D17">
        <w:t>NAESB RMQ and WEQ Business Practices Subcommittee (BPS) Participants and other Interested Parties,</w:t>
      </w:r>
    </w:p>
    <w:p w14:paraId="36D532CD" w14:textId="32562E35" w:rsidR="00F739ED" w:rsidRDefault="000D7D17" w:rsidP="00E37402">
      <w:pPr>
        <w:tabs>
          <w:tab w:val="left" w:pos="0"/>
          <w:tab w:val="left" w:pos="3920"/>
        </w:tabs>
        <w:spacing w:before="120" w:after="120"/>
        <w:jc w:val="both"/>
      </w:pPr>
      <w:r>
        <w:t xml:space="preserve">During the October RMQ and WEQ Executive Committee meetings, the RMQ BPS and WEQ BPS were </w:t>
      </w:r>
      <w:r w:rsidR="00E37402">
        <w:t xml:space="preserve">jointly assigned 2019 RMQ Annual Plan Item 7.b and 2019 WEQ Annual Plan Item 7.b.ii to develop a standard contract to improve and automate the current voluntary Renewable Energy Certificate (REC) creation, accounting, and retirement processes.  To kick-off these efforts, a joint RMQ BPS and WEQ BPS meeting has been scheduled for Wednesday, December 4, 2019 from 2:00 – 3:00 PM Central.  During the meeting, </w:t>
      </w:r>
      <w:r w:rsidR="009D6896">
        <w:t xml:space="preserve">a review of the NAESB joint standards development process </w:t>
      </w:r>
      <w:r w:rsidR="002F4344">
        <w:t xml:space="preserve">and voluntary REC process </w:t>
      </w:r>
      <w:r w:rsidR="009D6896">
        <w:t>will be provided</w:t>
      </w:r>
      <w:r w:rsidR="002F4344">
        <w:t>, and the participants will begin discussing the jointly assigned annual plan items.</w:t>
      </w:r>
    </w:p>
    <w:p w14:paraId="48753630" w14:textId="2CE69C96" w:rsidR="00C6771C" w:rsidRPr="00C6771C" w:rsidRDefault="00C6771C" w:rsidP="00C6771C">
      <w:pPr>
        <w:tabs>
          <w:tab w:val="left" w:pos="0"/>
          <w:tab w:val="left" w:pos="3920"/>
        </w:tabs>
        <w:spacing w:before="120" w:after="120"/>
        <w:jc w:val="both"/>
      </w:pPr>
      <w:r w:rsidRPr="00C6771C">
        <w:t>As with all NAESB subcommittees, participation in th</w:t>
      </w:r>
      <w:r w:rsidR="00414442">
        <w:t xml:space="preserve">ese </w:t>
      </w:r>
      <w:r w:rsidRPr="00C6771C">
        <w:t>subcommittee</w:t>
      </w:r>
      <w:r w:rsidR="00414442">
        <w:t>s</w:t>
      </w:r>
      <w:r w:rsidRPr="00C6771C">
        <w:t xml:space="preserve"> is open to anyone wishing to participate or monitor</w:t>
      </w:r>
      <w:r>
        <w:t>.  Individual non-members wishing to participate in a NAESB committee, subcommittee, or task force meeting must first register for the meeting and submit a meeting attendance fee.  The meeting participation fee, either by phone or in person, is $100 for meetings/conference calls of 4 hours or less and $300 for meetings/conference calls lasting more than 4 hours.  As an alternative, individual non-members may pay an annual (12 consecutive months) subcommittee/task force fee of $1000 (specific to a single subcommittee/task force) in lieu of the non-member individual meeting participation fee.  The annual subcommittee/task force fee will allow an individual non-member to participate in the single subcommittee/task force meetings/conference calls for a period of 12 consecutive months.  Please note that registration for the meetings is on an individual basis and does not extend to other employees from the same company.  Non-members wishing to follow the project may view the “NAESB Current Committee Activities” webpage (</w:t>
      </w:r>
      <w:hyperlink r:id="rId8" w:history="1">
        <w:r>
          <w:rPr>
            <w:rStyle w:val="Hyperlink"/>
          </w:rPr>
          <w:t>http://www.naesb.org/committee_activities.asp</w:t>
        </w:r>
      </w:hyperlink>
      <w:r>
        <w:t xml:space="preserve">) for information on future meetings. </w:t>
      </w:r>
    </w:p>
    <w:p w14:paraId="24ACDEB3" w14:textId="2611F97A" w:rsidR="00CD0437" w:rsidRDefault="00CD0437" w:rsidP="000469FB">
      <w:pPr>
        <w:spacing w:before="120"/>
        <w:jc w:val="both"/>
      </w:pPr>
      <w:r>
        <w:t xml:space="preserve">If you have any questions about participation on the </w:t>
      </w:r>
      <w:r w:rsidR="00380476">
        <w:t>subcommittee</w:t>
      </w:r>
      <w:r w:rsidR="00414442">
        <w:t>s</w:t>
      </w:r>
      <w:bookmarkStart w:id="1" w:name="_GoBack"/>
      <w:bookmarkEnd w:id="1"/>
      <w:r>
        <w:t>, please do not hesitate to contact the NAESB office at any time.</w:t>
      </w:r>
      <w:r w:rsidR="000469FB">
        <w:t xml:space="preserve">  </w:t>
      </w:r>
      <w:r w:rsidR="000469FB" w:rsidRPr="000C429B">
        <w:t xml:space="preserve">All participants are </w:t>
      </w:r>
      <w:r w:rsidR="000469FB">
        <w:t>encouraged</w:t>
      </w:r>
      <w:r w:rsidR="000469FB" w:rsidRPr="000C429B">
        <w:t xml:space="preserve"> to read the NAESB Antitrust </w:t>
      </w:r>
      <w:r w:rsidR="000469FB">
        <w:t>and Other Meeting Policies</w:t>
      </w:r>
      <w:r w:rsidR="000469FB" w:rsidRPr="000C429B">
        <w:t xml:space="preserve"> prior to the start of the meeting.  The statement can be viewed at the following link: </w:t>
      </w:r>
      <w:hyperlink r:id="rId9" w:history="1">
        <w:r w:rsidR="000469FB" w:rsidRPr="000C429B">
          <w:rPr>
            <w:rStyle w:val="Hyperlink"/>
          </w:rPr>
          <w:t>http://www.naesb.org/misc/antitrust_guidance.doc</w:t>
        </w:r>
      </w:hyperlink>
      <w:r w:rsidR="000469FB">
        <w:t>.</w:t>
      </w:r>
    </w:p>
    <w:p w14:paraId="6B14A56E" w14:textId="67390A89" w:rsidR="00380476" w:rsidRDefault="00380476" w:rsidP="000469FB">
      <w:pPr>
        <w:spacing w:before="360" w:after="120"/>
        <w:jc w:val="both"/>
      </w:pPr>
      <w:r>
        <w:t xml:space="preserve">With Best Regards,  </w:t>
      </w:r>
    </w:p>
    <w:p w14:paraId="735B5EBE" w14:textId="027D8B13" w:rsidR="00380476" w:rsidRPr="000469FB" w:rsidRDefault="000469FB" w:rsidP="000469FB">
      <w:pPr>
        <w:tabs>
          <w:tab w:val="left" w:pos="2745"/>
        </w:tabs>
        <w:rPr>
          <w:rFonts w:ascii="Brush Script MT" w:hAnsi="Brush Script MT"/>
          <w:color w:val="365F91" w:themeColor="accent1" w:themeShade="BF"/>
          <w:sz w:val="32"/>
          <w:szCs w:val="32"/>
        </w:rPr>
      </w:pPr>
      <w:r w:rsidRPr="00294134">
        <w:rPr>
          <w:rFonts w:ascii="Brush Script MT" w:hAnsi="Brush Script MT"/>
          <w:color w:val="365F91" w:themeColor="accent1" w:themeShade="BF"/>
          <w:sz w:val="32"/>
          <w:szCs w:val="32"/>
        </w:rPr>
        <w:t>Elizabeth Mallett</w:t>
      </w:r>
      <w:r>
        <w:rPr>
          <w:rFonts w:ascii="Brush Script MT" w:hAnsi="Brush Script MT"/>
          <w:color w:val="365F91" w:themeColor="accent1" w:themeShade="BF"/>
          <w:sz w:val="32"/>
          <w:szCs w:val="32"/>
        </w:rPr>
        <w:t>, Esq.</w:t>
      </w:r>
      <w:r w:rsidR="001D04B7">
        <w:rPr>
          <w:rFonts w:ascii="Bradley Hand ITC" w:hAnsi="Bradley Hand ITC"/>
          <w:i/>
          <w:sz w:val="36"/>
          <w:szCs w:val="36"/>
        </w:rPr>
        <w:br w:type="page"/>
      </w:r>
    </w:p>
    <w:p w14:paraId="113EC62B" w14:textId="77777777" w:rsidR="00842E04" w:rsidRDefault="00842E04" w:rsidP="00C071AD">
      <w:pPr>
        <w:spacing w:before="480"/>
        <w:jc w:val="center"/>
        <w:rPr>
          <w:b/>
        </w:rPr>
      </w:pPr>
    </w:p>
    <w:p w14:paraId="65CD9C03" w14:textId="358D8547" w:rsidR="00380476" w:rsidRDefault="00380476" w:rsidP="00C071AD">
      <w:pPr>
        <w:spacing w:before="480"/>
        <w:jc w:val="center"/>
        <w:rPr>
          <w:b/>
        </w:rPr>
      </w:pPr>
      <w:r>
        <w:rPr>
          <w:b/>
        </w:rPr>
        <w:t>NORTH AMERICAN ENERGY STANDARDS BOARD</w:t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012E5CD4" w:rsidR="00380476" w:rsidRDefault="00842E04" w:rsidP="00380476">
      <w:pPr>
        <w:jc w:val="center"/>
        <w:rPr>
          <w:b/>
        </w:rPr>
      </w:pPr>
      <w:r>
        <w:rPr>
          <w:b/>
        </w:rPr>
        <w:t>December 4</w:t>
      </w:r>
      <w:r w:rsidR="00AD5CB6">
        <w:rPr>
          <w:b/>
        </w:rPr>
        <w:t>, 201</w:t>
      </w:r>
      <w:r w:rsidR="00B6739C">
        <w:rPr>
          <w:b/>
        </w:rPr>
        <w:t>9</w:t>
      </w:r>
      <w:r w:rsidR="00FF518F">
        <w:rPr>
          <w:b/>
        </w:rPr>
        <w:t xml:space="preserve"> –</w:t>
      </w:r>
      <w:r>
        <w:rPr>
          <w:b/>
        </w:rPr>
        <w:t>2</w:t>
      </w:r>
      <w:r w:rsidR="00134293">
        <w:rPr>
          <w:b/>
        </w:rPr>
        <w:t>:</w:t>
      </w:r>
      <w:r>
        <w:rPr>
          <w:b/>
        </w:rPr>
        <w:t>00</w:t>
      </w:r>
      <w:r w:rsidR="00B30E4C">
        <w:rPr>
          <w:b/>
        </w:rPr>
        <w:t xml:space="preserve"> </w:t>
      </w:r>
      <w:r>
        <w:rPr>
          <w:b/>
        </w:rPr>
        <w:t>P</w:t>
      </w:r>
      <w:r w:rsidR="00891D3A">
        <w:rPr>
          <w:b/>
        </w:rPr>
        <w:t xml:space="preserve">M to </w:t>
      </w:r>
      <w:r>
        <w:rPr>
          <w:b/>
        </w:rPr>
        <w:t>3</w:t>
      </w:r>
      <w:r w:rsidR="00134293">
        <w:rPr>
          <w:b/>
        </w:rPr>
        <w:t>:</w:t>
      </w:r>
      <w:r>
        <w:rPr>
          <w:b/>
        </w:rPr>
        <w:t>3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7D718E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hyperlink r:id="rId10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20C8EC54" w:rsidR="00842E04" w:rsidRPr="00842E04" w:rsidRDefault="00354A93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1A8351B3" w14:textId="48B5C82D" w:rsidR="00F739ED" w:rsidRDefault="00F97E2D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>Re</w:t>
      </w:r>
      <w:r w:rsidR="00F739ED">
        <w:t>view of NAESB Joint Standards Development Process</w:t>
      </w:r>
    </w:p>
    <w:p w14:paraId="2B027FEF" w14:textId="1BC2EA94" w:rsidR="009D6896" w:rsidRDefault="00F97E2D" w:rsidP="006E5D6B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Overview of the Voluntary Renewable Energy Certificate (REC) Process </w:t>
      </w:r>
    </w:p>
    <w:p w14:paraId="75565CDB" w14:textId="07DDDB38" w:rsidR="00F97E2D" w:rsidRDefault="009D6896" w:rsidP="006E5D6B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Discuss </w:t>
      </w:r>
      <w:r w:rsidR="00F97E2D">
        <w:t xml:space="preserve">2019 RMQ Annual Plan Item 7.b and 2019 WEQ Annual Plan Item 7.b.ii – Develop </w:t>
      </w:r>
      <w:r w:rsidR="00842E04">
        <w:t xml:space="preserve">a standard contract to improve and automate the current voluntary </w:t>
      </w:r>
      <w:r w:rsidR="00F97E2D">
        <w:t xml:space="preserve">REC </w:t>
      </w:r>
      <w:r w:rsidR="00BF070D">
        <w:t>creation</w:t>
      </w:r>
      <w:r w:rsidR="00842E04">
        <w:t>, accounting, and retirement processes</w:t>
      </w:r>
    </w:p>
    <w:p w14:paraId="355B6FE9" w14:textId="3A68C44D" w:rsidR="00380476" w:rsidRPr="000E4471" w:rsidRDefault="00AD5CB6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Discuss </w:t>
      </w:r>
      <w:r w:rsidR="00F841C7">
        <w:t>Next Steps and Future Meetings</w:t>
      </w:r>
    </w:p>
    <w:p w14:paraId="0FE0FFF6" w14:textId="60A176E6" w:rsidR="00380476" w:rsidRPr="000E4471" w:rsidRDefault="00380476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0E4471">
        <w:t>Adjourn</w:t>
      </w:r>
    </w:p>
    <w:p w14:paraId="45C82A54" w14:textId="77777777" w:rsidR="00380476" w:rsidRDefault="00380476" w:rsidP="00380476">
      <w:pPr>
        <w:spacing w:before="120"/>
      </w:pPr>
    </w:p>
    <w:p w14:paraId="48567133" w14:textId="77777777" w:rsidR="00380476" w:rsidRDefault="00380476" w:rsidP="00380476">
      <w:pPr>
        <w:spacing w:before="120"/>
      </w:pPr>
    </w:p>
    <w:sectPr w:rsidR="00380476" w:rsidSect="003A7AFC">
      <w:headerReference w:type="default" r:id="rId11"/>
      <w:footerReference w:type="default" r:id="rId12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20DB3" w14:textId="77777777" w:rsidR="007D718E" w:rsidRDefault="007D718E">
      <w:r>
        <w:separator/>
      </w:r>
    </w:p>
  </w:endnote>
  <w:endnote w:type="continuationSeparator" w:id="0">
    <w:p w14:paraId="53A77BAE" w14:textId="77777777" w:rsidR="007D718E" w:rsidRDefault="007D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Arabic Typesetting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D052" w14:textId="12679769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>Joint RMQ and WEQ BPS Meeting Agenda</w:t>
    </w:r>
    <w:r w:rsidR="006402B6">
      <w:t xml:space="preserve"> –</w:t>
    </w:r>
    <w:r w:rsidR="0077491C">
      <w:t xml:space="preserve"> </w:t>
    </w:r>
    <w:r>
      <w:t>December 4</w:t>
    </w:r>
    <w:r w:rsidR="00B6739C">
      <w:t>, 2019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B60D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4BC30" w14:textId="77777777" w:rsidR="007D718E" w:rsidRDefault="007D718E">
      <w:r>
        <w:separator/>
      </w:r>
    </w:p>
  </w:footnote>
  <w:footnote w:type="continuationSeparator" w:id="0">
    <w:p w14:paraId="1148C9E4" w14:textId="77777777" w:rsidR="007D718E" w:rsidRDefault="007D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YYLnQs&#10;AwAA3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77777777" w:rsidR="00603C2C" w:rsidRDefault="00603C2C" w:rsidP="00603C2C">
    <w:pPr>
      <w:pStyle w:val="Header"/>
      <w:ind w:left="1800"/>
      <w:jc w:val="right"/>
    </w:pPr>
    <w:r>
      <w:t>Phone:  (713) 356-0060, Fax:  (713) 356-0067, E-mail: naesb@naesb.org</w:t>
    </w:r>
  </w:p>
  <w:p w14:paraId="0E2D60FC" w14:textId="7501FABB" w:rsidR="006402B6" w:rsidRDefault="00603C2C" w:rsidP="00603C2C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2DB85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4E0D"/>
    <w:rsid w:val="000162C0"/>
    <w:rsid w:val="00030E7B"/>
    <w:rsid w:val="0003682A"/>
    <w:rsid w:val="00036853"/>
    <w:rsid w:val="000469FB"/>
    <w:rsid w:val="00053888"/>
    <w:rsid w:val="000547B8"/>
    <w:rsid w:val="000558FF"/>
    <w:rsid w:val="00056AAD"/>
    <w:rsid w:val="00057BE8"/>
    <w:rsid w:val="00060F18"/>
    <w:rsid w:val="00063ABA"/>
    <w:rsid w:val="000719D2"/>
    <w:rsid w:val="00084A28"/>
    <w:rsid w:val="000A1E5C"/>
    <w:rsid w:val="000B36F5"/>
    <w:rsid w:val="000B4029"/>
    <w:rsid w:val="000C3C95"/>
    <w:rsid w:val="000D4839"/>
    <w:rsid w:val="000D4B05"/>
    <w:rsid w:val="000D590D"/>
    <w:rsid w:val="000D7D17"/>
    <w:rsid w:val="000E2645"/>
    <w:rsid w:val="000E3449"/>
    <w:rsid w:val="000E4471"/>
    <w:rsid w:val="000F1949"/>
    <w:rsid w:val="000F3AED"/>
    <w:rsid w:val="00110CD8"/>
    <w:rsid w:val="00111AEE"/>
    <w:rsid w:val="00114DFD"/>
    <w:rsid w:val="0012342C"/>
    <w:rsid w:val="001278FC"/>
    <w:rsid w:val="00133C96"/>
    <w:rsid w:val="00134293"/>
    <w:rsid w:val="00135120"/>
    <w:rsid w:val="00136C5B"/>
    <w:rsid w:val="001500CE"/>
    <w:rsid w:val="00160E95"/>
    <w:rsid w:val="00161928"/>
    <w:rsid w:val="001805AF"/>
    <w:rsid w:val="001816BF"/>
    <w:rsid w:val="00193A60"/>
    <w:rsid w:val="001A7635"/>
    <w:rsid w:val="001C79CB"/>
    <w:rsid w:val="001D04B7"/>
    <w:rsid w:val="001D11E5"/>
    <w:rsid w:val="001D586C"/>
    <w:rsid w:val="001D780B"/>
    <w:rsid w:val="002050C1"/>
    <w:rsid w:val="002221BC"/>
    <w:rsid w:val="0022475E"/>
    <w:rsid w:val="002344FA"/>
    <w:rsid w:val="00235526"/>
    <w:rsid w:val="00236039"/>
    <w:rsid w:val="00252387"/>
    <w:rsid w:val="00252472"/>
    <w:rsid w:val="00252B84"/>
    <w:rsid w:val="00273C57"/>
    <w:rsid w:val="00276197"/>
    <w:rsid w:val="002844AE"/>
    <w:rsid w:val="00291925"/>
    <w:rsid w:val="002950E8"/>
    <w:rsid w:val="00297464"/>
    <w:rsid w:val="002A681A"/>
    <w:rsid w:val="002B6762"/>
    <w:rsid w:val="002B6F22"/>
    <w:rsid w:val="002C1B7A"/>
    <w:rsid w:val="002C6CE2"/>
    <w:rsid w:val="002D0F21"/>
    <w:rsid w:val="002D51C6"/>
    <w:rsid w:val="002D6DFB"/>
    <w:rsid w:val="002E361F"/>
    <w:rsid w:val="002E4AA9"/>
    <w:rsid w:val="002E4E07"/>
    <w:rsid w:val="002F178F"/>
    <w:rsid w:val="002F1B73"/>
    <w:rsid w:val="002F2646"/>
    <w:rsid w:val="002F4344"/>
    <w:rsid w:val="003200D7"/>
    <w:rsid w:val="00324F1F"/>
    <w:rsid w:val="0033789F"/>
    <w:rsid w:val="00354A93"/>
    <w:rsid w:val="00355B19"/>
    <w:rsid w:val="00357EE9"/>
    <w:rsid w:val="00362E29"/>
    <w:rsid w:val="003664DB"/>
    <w:rsid w:val="00380476"/>
    <w:rsid w:val="0038318C"/>
    <w:rsid w:val="0038592D"/>
    <w:rsid w:val="003A7AFC"/>
    <w:rsid w:val="003B12BE"/>
    <w:rsid w:val="003C0CD4"/>
    <w:rsid w:val="003C443A"/>
    <w:rsid w:val="003C566C"/>
    <w:rsid w:val="003D5056"/>
    <w:rsid w:val="003F192A"/>
    <w:rsid w:val="0041063C"/>
    <w:rsid w:val="00414442"/>
    <w:rsid w:val="00415B6D"/>
    <w:rsid w:val="004230D1"/>
    <w:rsid w:val="004249EA"/>
    <w:rsid w:val="0043136D"/>
    <w:rsid w:val="0044028F"/>
    <w:rsid w:val="00440F1C"/>
    <w:rsid w:val="004569EE"/>
    <w:rsid w:val="00460E53"/>
    <w:rsid w:val="004665DD"/>
    <w:rsid w:val="00472AD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45D3"/>
    <w:rsid w:val="004E0BC3"/>
    <w:rsid w:val="004E22FD"/>
    <w:rsid w:val="004E4BAB"/>
    <w:rsid w:val="004E691E"/>
    <w:rsid w:val="0050313C"/>
    <w:rsid w:val="00506152"/>
    <w:rsid w:val="00506BC6"/>
    <w:rsid w:val="00541126"/>
    <w:rsid w:val="00543967"/>
    <w:rsid w:val="005772AE"/>
    <w:rsid w:val="005914D6"/>
    <w:rsid w:val="0059272C"/>
    <w:rsid w:val="00592782"/>
    <w:rsid w:val="005A4AD6"/>
    <w:rsid w:val="005B179C"/>
    <w:rsid w:val="005B2DFD"/>
    <w:rsid w:val="005B75FF"/>
    <w:rsid w:val="005C0973"/>
    <w:rsid w:val="005C16DD"/>
    <w:rsid w:val="005E5F3A"/>
    <w:rsid w:val="005E73EB"/>
    <w:rsid w:val="005F0C17"/>
    <w:rsid w:val="005F213B"/>
    <w:rsid w:val="00603C2C"/>
    <w:rsid w:val="00604D6A"/>
    <w:rsid w:val="00605D01"/>
    <w:rsid w:val="00606614"/>
    <w:rsid w:val="00606D72"/>
    <w:rsid w:val="00606F31"/>
    <w:rsid w:val="00607E1E"/>
    <w:rsid w:val="00612386"/>
    <w:rsid w:val="00617C24"/>
    <w:rsid w:val="006402B6"/>
    <w:rsid w:val="00642447"/>
    <w:rsid w:val="00642E54"/>
    <w:rsid w:val="00657556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96E34"/>
    <w:rsid w:val="006A080D"/>
    <w:rsid w:val="006A78BE"/>
    <w:rsid w:val="006B10FA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5D6B"/>
    <w:rsid w:val="00702F75"/>
    <w:rsid w:val="00707897"/>
    <w:rsid w:val="007142AC"/>
    <w:rsid w:val="00717488"/>
    <w:rsid w:val="00720744"/>
    <w:rsid w:val="00721D0F"/>
    <w:rsid w:val="00723FD7"/>
    <w:rsid w:val="007322A9"/>
    <w:rsid w:val="007371AB"/>
    <w:rsid w:val="0073793D"/>
    <w:rsid w:val="00737FA1"/>
    <w:rsid w:val="007502E6"/>
    <w:rsid w:val="00770252"/>
    <w:rsid w:val="007716E6"/>
    <w:rsid w:val="00774858"/>
    <w:rsid w:val="0077491C"/>
    <w:rsid w:val="007756D8"/>
    <w:rsid w:val="007844C2"/>
    <w:rsid w:val="00785196"/>
    <w:rsid w:val="00785929"/>
    <w:rsid w:val="00797BA7"/>
    <w:rsid w:val="007B0E9D"/>
    <w:rsid w:val="007D718E"/>
    <w:rsid w:val="007E036C"/>
    <w:rsid w:val="007F0D1E"/>
    <w:rsid w:val="007F4075"/>
    <w:rsid w:val="00800CED"/>
    <w:rsid w:val="008072E4"/>
    <w:rsid w:val="00820B00"/>
    <w:rsid w:val="008241BF"/>
    <w:rsid w:val="008301B3"/>
    <w:rsid w:val="00842E04"/>
    <w:rsid w:val="008623C8"/>
    <w:rsid w:val="00863629"/>
    <w:rsid w:val="00866FD4"/>
    <w:rsid w:val="00871133"/>
    <w:rsid w:val="00876015"/>
    <w:rsid w:val="00877E49"/>
    <w:rsid w:val="008869A8"/>
    <w:rsid w:val="00887681"/>
    <w:rsid w:val="00891D3A"/>
    <w:rsid w:val="008B261F"/>
    <w:rsid w:val="008B2A0A"/>
    <w:rsid w:val="008C261E"/>
    <w:rsid w:val="008D5652"/>
    <w:rsid w:val="008E1AE7"/>
    <w:rsid w:val="008E78AF"/>
    <w:rsid w:val="008E7EDA"/>
    <w:rsid w:val="008F161F"/>
    <w:rsid w:val="008F5F83"/>
    <w:rsid w:val="00924409"/>
    <w:rsid w:val="00934126"/>
    <w:rsid w:val="00942A1D"/>
    <w:rsid w:val="00957DFF"/>
    <w:rsid w:val="009649EF"/>
    <w:rsid w:val="00972466"/>
    <w:rsid w:val="00982558"/>
    <w:rsid w:val="009A6152"/>
    <w:rsid w:val="009B05E0"/>
    <w:rsid w:val="009B65E0"/>
    <w:rsid w:val="009C2B6D"/>
    <w:rsid w:val="009C4F3A"/>
    <w:rsid w:val="009D3B1F"/>
    <w:rsid w:val="009D51A5"/>
    <w:rsid w:val="009D6896"/>
    <w:rsid w:val="009E111A"/>
    <w:rsid w:val="009E2D69"/>
    <w:rsid w:val="009F3C7E"/>
    <w:rsid w:val="00A02FC9"/>
    <w:rsid w:val="00A10A39"/>
    <w:rsid w:val="00A1521B"/>
    <w:rsid w:val="00A15340"/>
    <w:rsid w:val="00A26753"/>
    <w:rsid w:val="00A46DDD"/>
    <w:rsid w:val="00A531C0"/>
    <w:rsid w:val="00A56367"/>
    <w:rsid w:val="00A71637"/>
    <w:rsid w:val="00A733B3"/>
    <w:rsid w:val="00A73504"/>
    <w:rsid w:val="00A77EBC"/>
    <w:rsid w:val="00A865D5"/>
    <w:rsid w:val="00A87816"/>
    <w:rsid w:val="00AA3EF5"/>
    <w:rsid w:val="00AB4831"/>
    <w:rsid w:val="00AB6E7C"/>
    <w:rsid w:val="00AC792D"/>
    <w:rsid w:val="00AD5CB6"/>
    <w:rsid w:val="00AD6B10"/>
    <w:rsid w:val="00AE2583"/>
    <w:rsid w:val="00AE6567"/>
    <w:rsid w:val="00AF35E7"/>
    <w:rsid w:val="00B1267B"/>
    <w:rsid w:val="00B128FB"/>
    <w:rsid w:val="00B30951"/>
    <w:rsid w:val="00B30E4C"/>
    <w:rsid w:val="00B31A1B"/>
    <w:rsid w:val="00B3585E"/>
    <w:rsid w:val="00B36145"/>
    <w:rsid w:val="00B36176"/>
    <w:rsid w:val="00B47915"/>
    <w:rsid w:val="00B5650E"/>
    <w:rsid w:val="00B60231"/>
    <w:rsid w:val="00B6739C"/>
    <w:rsid w:val="00B733BF"/>
    <w:rsid w:val="00B76415"/>
    <w:rsid w:val="00B8067C"/>
    <w:rsid w:val="00BA647D"/>
    <w:rsid w:val="00BB0A54"/>
    <w:rsid w:val="00BB0EB4"/>
    <w:rsid w:val="00BC7F3E"/>
    <w:rsid w:val="00BE42B1"/>
    <w:rsid w:val="00BE6BE2"/>
    <w:rsid w:val="00BF070D"/>
    <w:rsid w:val="00BF49AE"/>
    <w:rsid w:val="00C01683"/>
    <w:rsid w:val="00C071AD"/>
    <w:rsid w:val="00C23B6F"/>
    <w:rsid w:val="00C25BF7"/>
    <w:rsid w:val="00C26D67"/>
    <w:rsid w:val="00C3032B"/>
    <w:rsid w:val="00C515BD"/>
    <w:rsid w:val="00C51A56"/>
    <w:rsid w:val="00C51BE9"/>
    <w:rsid w:val="00C51D1A"/>
    <w:rsid w:val="00C6771C"/>
    <w:rsid w:val="00C71A5A"/>
    <w:rsid w:val="00C83EDF"/>
    <w:rsid w:val="00CA31B2"/>
    <w:rsid w:val="00CB02C9"/>
    <w:rsid w:val="00CC2CA2"/>
    <w:rsid w:val="00CC41AC"/>
    <w:rsid w:val="00CC44B6"/>
    <w:rsid w:val="00CC7D7B"/>
    <w:rsid w:val="00CD0437"/>
    <w:rsid w:val="00CD1D2D"/>
    <w:rsid w:val="00CD3C52"/>
    <w:rsid w:val="00CD58EE"/>
    <w:rsid w:val="00CE0EFA"/>
    <w:rsid w:val="00CE6BF4"/>
    <w:rsid w:val="00D01F9C"/>
    <w:rsid w:val="00D478B8"/>
    <w:rsid w:val="00D55366"/>
    <w:rsid w:val="00D56CE9"/>
    <w:rsid w:val="00D666B9"/>
    <w:rsid w:val="00D86350"/>
    <w:rsid w:val="00D87711"/>
    <w:rsid w:val="00DA2360"/>
    <w:rsid w:val="00DA5BC4"/>
    <w:rsid w:val="00DB202E"/>
    <w:rsid w:val="00DC4A1F"/>
    <w:rsid w:val="00DD7BD8"/>
    <w:rsid w:val="00DF0ADF"/>
    <w:rsid w:val="00E01809"/>
    <w:rsid w:val="00E04161"/>
    <w:rsid w:val="00E06FFA"/>
    <w:rsid w:val="00E1424A"/>
    <w:rsid w:val="00E247D6"/>
    <w:rsid w:val="00E37082"/>
    <w:rsid w:val="00E37402"/>
    <w:rsid w:val="00E427CC"/>
    <w:rsid w:val="00E429FB"/>
    <w:rsid w:val="00E43CDF"/>
    <w:rsid w:val="00E47BF4"/>
    <w:rsid w:val="00E51D69"/>
    <w:rsid w:val="00E7240E"/>
    <w:rsid w:val="00E72C74"/>
    <w:rsid w:val="00E73D05"/>
    <w:rsid w:val="00E92387"/>
    <w:rsid w:val="00EA300C"/>
    <w:rsid w:val="00EA4F0B"/>
    <w:rsid w:val="00ED6845"/>
    <w:rsid w:val="00EE2048"/>
    <w:rsid w:val="00EE3AB6"/>
    <w:rsid w:val="00EE4C23"/>
    <w:rsid w:val="00F008A3"/>
    <w:rsid w:val="00F05398"/>
    <w:rsid w:val="00F11F99"/>
    <w:rsid w:val="00F3331C"/>
    <w:rsid w:val="00F34A7F"/>
    <w:rsid w:val="00F36C10"/>
    <w:rsid w:val="00F379A4"/>
    <w:rsid w:val="00F447C1"/>
    <w:rsid w:val="00F56979"/>
    <w:rsid w:val="00F65789"/>
    <w:rsid w:val="00F739ED"/>
    <w:rsid w:val="00F74EAE"/>
    <w:rsid w:val="00F8215E"/>
    <w:rsid w:val="00F841C7"/>
    <w:rsid w:val="00F90397"/>
    <w:rsid w:val="00F91D27"/>
    <w:rsid w:val="00F978F0"/>
    <w:rsid w:val="00F97E2D"/>
    <w:rsid w:val="00FB5272"/>
    <w:rsid w:val="00FB60D1"/>
    <w:rsid w:val="00FC7BE6"/>
    <w:rsid w:val="00FD6446"/>
    <w:rsid w:val="00FE1FBD"/>
    <w:rsid w:val="00FE33FA"/>
    <w:rsid w:val="00FF518F"/>
    <w:rsid w:val="00FF52D1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  <w15:docId w15:val="{7140B2D8-3385-42BD-8442-7D3CC4D0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committee_activities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esb.org/misc/antitrust_guidanc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E69D-53EB-482E-B61F-D8BE42FD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3598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elizabeth mallett</cp:lastModifiedBy>
  <cp:revision>7</cp:revision>
  <cp:lastPrinted>2008-03-10T15:09:00Z</cp:lastPrinted>
  <dcterms:created xsi:type="dcterms:W3CDTF">2019-11-06T15:38:00Z</dcterms:created>
  <dcterms:modified xsi:type="dcterms:W3CDTF">2019-11-07T16:07:00Z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