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0" w:type="dxa"/>
        <w:tblInd w:w="17" w:type="dxa"/>
        <w:tblLayout w:type="fixed"/>
        <w:tblCellMar>
          <w:top w:w="60" w:type="dxa"/>
          <w:left w:w="17" w:type="dxa"/>
          <w:right w:w="17" w:type="dxa"/>
        </w:tblCellMar>
        <w:tblLook w:val="0000" w:firstRow="0" w:lastRow="0" w:firstColumn="0" w:lastColumn="0" w:noHBand="0" w:noVBand="0"/>
      </w:tblPr>
      <w:tblGrid>
        <w:gridCol w:w="360"/>
        <w:gridCol w:w="360"/>
        <w:gridCol w:w="540"/>
        <w:gridCol w:w="540"/>
        <w:gridCol w:w="5040"/>
        <w:gridCol w:w="1170"/>
        <w:gridCol w:w="1620"/>
      </w:tblGrid>
      <w:tr w:rsidR="002C55F4">
        <w:trPr>
          <w:cantSplit/>
          <w:tblHeader/>
        </w:trPr>
        <w:tc>
          <w:tcPr>
            <w:tcW w:w="9630" w:type="dxa"/>
            <w:gridSpan w:val="7"/>
            <w:tcBorders>
              <w:bottom w:val="single" w:sz="4" w:space="0" w:color="auto"/>
            </w:tcBorders>
          </w:tcPr>
          <w:p w:rsidR="00733E70" w:rsidRDefault="002C55F4" w:rsidP="001421C5">
            <w:pPr>
              <w:pStyle w:val="TableText"/>
              <w:jc w:val="center"/>
              <w:rPr>
                <w:rFonts w:ascii="Times New Roman" w:hAnsi="Times New Roman"/>
                <w:b/>
                <w:sz w:val="18"/>
                <w:szCs w:val="18"/>
              </w:rPr>
            </w:pPr>
            <w:bookmarkStart w:id="0" w:name="OLE_LINK3"/>
            <w:bookmarkStart w:id="1" w:name="OLE_LINK4"/>
            <w:r>
              <w:rPr>
                <w:rFonts w:ascii="Times New Roman" w:hAnsi="Times New Roman"/>
                <w:b/>
                <w:sz w:val="18"/>
                <w:szCs w:val="18"/>
              </w:rPr>
              <w:t>NORTH AMERICAN ENERGY STANDARDS BOARD</w:t>
            </w:r>
            <w:bookmarkStart w:id="2" w:name="OLE_LINK1"/>
            <w:bookmarkStart w:id="3" w:name="OLE_LINK2"/>
            <w:r>
              <w:rPr>
                <w:rFonts w:ascii="Times New Roman" w:hAnsi="Times New Roman"/>
                <w:b/>
                <w:sz w:val="18"/>
                <w:szCs w:val="18"/>
              </w:rPr>
              <w:br/>
            </w:r>
            <w:r w:rsidR="001E11CB">
              <w:rPr>
                <w:rFonts w:ascii="Times New Roman" w:hAnsi="Times New Roman"/>
                <w:b/>
                <w:sz w:val="18"/>
                <w:szCs w:val="18"/>
              </w:rPr>
              <w:t xml:space="preserve">2015 </w:t>
            </w:r>
            <w:r>
              <w:rPr>
                <w:rFonts w:ascii="Times New Roman" w:hAnsi="Times New Roman"/>
                <w:b/>
                <w:sz w:val="18"/>
                <w:szCs w:val="18"/>
              </w:rPr>
              <w:t xml:space="preserve">ANNUAL PLAN for the WHOLESALE ELECTRIC QUADRANT </w:t>
            </w:r>
            <w:r>
              <w:rPr>
                <w:rFonts w:ascii="Times New Roman" w:hAnsi="Times New Roman"/>
                <w:b/>
                <w:sz w:val="18"/>
                <w:szCs w:val="18"/>
              </w:rPr>
              <w:br/>
            </w:r>
            <w:bookmarkEnd w:id="0"/>
            <w:bookmarkEnd w:id="1"/>
            <w:bookmarkEnd w:id="2"/>
            <w:bookmarkEnd w:id="3"/>
            <w:r w:rsidR="00100670">
              <w:rPr>
                <w:rFonts w:ascii="Times New Roman" w:hAnsi="Times New Roman"/>
                <w:b/>
                <w:sz w:val="18"/>
                <w:szCs w:val="18"/>
              </w:rPr>
              <w:t>Adopted  by the Board of Directors</w:t>
            </w:r>
            <w:r w:rsidR="00F9193F">
              <w:rPr>
                <w:rFonts w:ascii="Times New Roman" w:hAnsi="Times New Roman"/>
                <w:b/>
                <w:sz w:val="18"/>
                <w:szCs w:val="18"/>
              </w:rPr>
              <w:t xml:space="preserve"> on </w:t>
            </w:r>
            <w:r w:rsidR="001421C5">
              <w:rPr>
                <w:rFonts w:ascii="Times New Roman" w:hAnsi="Times New Roman"/>
                <w:b/>
                <w:sz w:val="18"/>
                <w:szCs w:val="18"/>
              </w:rPr>
              <w:t>December 10</w:t>
            </w:r>
            <w:r w:rsidR="00235A38">
              <w:rPr>
                <w:rFonts w:ascii="Times New Roman" w:hAnsi="Times New Roman"/>
                <w:b/>
                <w:sz w:val="18"/>
                <w:szCs w:val="18"/>
              </w:rPr>
              <w:t>, 2015</w:t>
            </w:r>
          </w:p>
        </w:tc>
      </w:tr>
      <w:tr w:rsidR="002C55F4">
        <w:trPr>
          <w:cantSplit/>
          <w:tblHeader/>
        </w:trPr>
        <w:tc>
          <w:tcPr>
            <w:tcW w:w="360" w:type="dxa"/>
            <w:tcBorders>
              <w:top w:val="single" w:sz="4" w:space="0" w:color="auto"/>
              <w:bottom w:val="single" w:sz="4" w:space="0" w:color="auto"/>
            </w:tcBorders>
          </w:tcPr>
          <w:p w:rsidR="002C55F4" w:rsidRDefault="002C55F4">
            <w:pPr>
              <w:pStyle w:val="TableText"/>
              <w:spacing w:before="60" w:after="60"/>
              <w:rPr>
                <w:rFonts w:ascii="Times New Roman" w:hAnsi="Times New Roman"/>
                <w:b/>
                <w:sz w:val="18"/>
                <w:szCs w:val="18"/>
              </w:rPr>
            </w:pPr>
          </w:p>
        </w:tc>
        <w:tc>
          <w:tcPr>
            <w:tcW w:w="6480" w:type="dxa"/>
            <w:gridSpan w:val="4"/>
            <w:tcBorders>
              <w:top w:val="single" w:sz="4" w:space="0" w:color="auto"/>
              <w:bottom w:val="single" w:sz="4" w:space="0" w:color="auto"/>
            </w:tcBorders>
          </w:tcPr>
          <w:p w:rsidR="002C55F4" w:rsidRDefault="002C55F4">
            <w:pPr>
              <w:pStyle w:val="TableText"/>
              <w:spacing w:before="60" w:after="60"/>
              <w:jc w:val="center"/>
              <w:rPr>
                <w:rFonts w:ascii="Times New Roman" w:hAnsi="Times New Roman"/>
                <w:b/>
                <w:sz w:val="18"/>
                <w:szCs w:val="18"/>
              </w:rPr>
            </w:pPr>
            <w:r>
              <w:rPr>
                <w:rFonts w:ascii="Times New Roman" w:hAnsi="Times New Roman"/>
                <w:b/>
                <w:sz w:val="18"/>
                <w:szCs w:val="18"/>
              </w:rPr>
              <w:t>Item Description</w:t>
            </w:r>
          </w:p>
        </w:tc>
        <w:tc>
          <w:tcPr>
            <w:tcW w:w="1170" w:type="dxa"/>
            <w:tcBorders>
              <w:top w:val="single" w:sz="4" w:space="0" w:color="auto"/>
              <w:bottom w:val="single" w:sz="4" w:space="0" w:color="auto"/>
            </w:tcBorders>
          </w:tcPr>
          <w:p w:rsidR="002C55F4" w:rsidRDefault="002C55F4">
            <w:pPr>
              <w:pStyle w:val="TableText"/>
              <w:spacing w:before="60" w:after="60"/>
              <w:jc w:val="center"/>
              <w:rPr>
                <w:rFonts w:ascii="Times New Roman" w:hAnsi="Times New Roman"/>
                <w:b/>
                <w:sz w:val="18"/>
                <w:szCs w:val="18"/>
              </w:rPr>
            </w:pPr>
            <w:r>
              <w:rPr>
                <w:rFonts w:ascii="Times New Roman" w:hAnsi="Times New Roman"/>
                <w:b/>
                <w:sz w:val="18"/>
                <w:szCs w:val="18"/>
              </w:rPr>
              <w:t>Completion</w:t>
            </w:r>
            <w:r>
              <w:rPr>
                <w:rStyle w:val="EndnoteReference"/>
                <w:rFonts w:ascii="Times New Roman" w:hAnsi="Times New Roman"/>
                <w:b/>
                <w:sz w:val="18"/>
                <w:szCs w:val="18"/>
              </w:rPr>
              <w:endnoteReference w:id="1"/>
            </w:r>
          </w:p>
        </w:tc>
        <w:tc>
          <w:tcPr>
            <w:tcW w:w="1620" w:type="dxa"/>
            <w:tcBorders>
              <w:top w:val="single" w:sz="4" w:space="0" w:color="auto"/>
              <w:bottom w:val="single" w:sz="4" w:space="0" w:color="auto"/>
            </w:tcBorders>
          </w:tcPr>
          <w:p w:rsidR="002C55F4" w:rsidRDefault="002C55F4">
            <w:pPr>
              <w:pStyle w:val="TableText"/>
              <w:spacing w:before="60" w:after="60"/>
              <w:jc w:val="center"/>
              <w:rPr>
                <w:rFonts w:ascii="Times New Roman" w:hAnsi="Times New Roman"/>
                <w:b/>
                <w:sz w:val="18"/>
                <w:szCs w:val="18"/>
              </w:rPr>
            </w:pPr>
            <w:r>
              <w:rPr>
                <w:rFonts w:ascii="Times New Roman" w:hAnsi="Times New Roman"/>
                <w:b/>
                <w:sz w:val="18"/>
                <w:szCs w:val="18"/>
              </w:rPr>
              <w:t>Assignment</w:t>
            </w:r>
            <w:r>
              <w:rPr>
                <w:rStyle w:val="EndnoteReference"/>
                <w:rFonts w:ascii="Times New Roman" w:hAnsi="Times New Roman"/>
                <w:b/>
                <w:sz w:val="18"/>
                <w:szCs w:val="18"/>
              </w:rPr>
              <w:endnoteReference w:id="2"/>
            </w:r>
          </w:p>
        </w:tc>
      </w:tr>
      <w:tr w:rsidR="002C55F4">
        <w:trPr>
          <w:cantSplit/>
        </w:trPr>
        <w:tc>
          <w:tcPr>
            <w:tcW w:w="360" w:type="dxa"/>
            <w:tcBorders>
              <w:top w:val="single" w:sz="4" w:space="0" w:color="auto"/>
            </w:tcBorders>
          </w:tcPr>
          <w:p w:rsidR="002C55F4" w:rsidRDefault="002C55F4">
            <w:pPr>
              <w:pStyle w:val="TableText"/>
              <w:spacing w:before="40" w:after="40"/>
              <w:ind w:left="144"/>
              <w:rPr>
                <w:rFonts w:ascii="Times New Roman" w:hAnsi="Times New Roman"/>
                <w:b/>
                <w:color w:val="auto"/>
                <w:sz w:val="18"/>
                <w:szCs w:val="18"/>
              </w:rPr>
            </w:pPr>
            <w:r>
              <w:rPr>
                <w:rFonts w:ascii="Times New Roman" w:hAnsi="Times New Roman"/>
                <w:b/>
                <w:color w:val="auto"/>
                <w:sz w:val="18"/>
                <w:szCs w:val="18"/>
              </w:rPr>
              <w:t>1</w:t>
            </w:r>
            <w:r w:rsidR="001E11CB">
              <w:rPr>
                <w:rFonts w:ascii="Times New Roman" w:hAnsi="Times New Roman"/>
                <w:b/>
                <w:color w:val="auto"/>
                <w:sz w:val="18"/>
                <w:szCs w:val="18"/>
              </w:rPr>
              <w:t>.</w:t>
            </w:r>
          </w:p>
        </w:tc>
        <w:tc>
          <w:tcPr>
            <w:tcW w:w="9270" w:type="dxa"/>
            <w:gridSpan w:val="6"/>
            <w:tcBorders>
              <w:top w:val="single" w:sz="4" w:space="0" w:color="auto"/>
            </w:tcBorders>
          </w:tcPr>
          <w:p w:rsidR="002C55F4" w:rsidRDefault="002C55F4">
            <w:pPr>
              <w:pStyle w:val="TableText"/>
              <w:widowControl w:val="0"/>
              <w:spacing w:before="40" w:after="40"/>
              <w:ind w:left="144"/>
              <w:rPr>
                <w:rFonts w:ascii="Times New Roman" w:hAnsi="Times New Roman"/>
                <w:i/>
                <w:color w:val="auto"/>
                <w:sz w:val="18"/>
                <w:szCs w:val="18"/>
              </w:rPr>
            </w:pPr>
            <w:r>
              <w:rPr>
                <w:rFonts w:ascii="Times New Roman" w:hAnsi="Times New Roman"/>
                <w:b/>
                <w:color w:val="auto"/>
                <w:sz w:val="18"/>
                <w:szCs w:val="18"/>
              </w:rPr>
              <w:t>Develop business practices standards as needed to complement reliability standards</w:t>
            </w:r>
          </w:p>
        </w:tc>
      </w:tr>
      <w:tr w:rsidR="002C55F4">
        <w:trPr>
          <w:cantSplit/>
        </w:trPr>
        <w:tc>
          <w:tcPr>
            <w:tcW w:w="360" w:type="dxa"/>
          </w:tcPr>
          <w:p w:rsidR="002C55F4" w:rsidRDefault="002C55F4">
            <w:pPr>
              <w:pStyle w:val="TableText"/>
              <w:spacing w:before="40" w:after="40"/>
              <w:ind w:left="144"/>
              <w:rPr>
                <w:rFonts w:ascii="Times New Roman" w:hAnsi="Times New Roman"/>
                <w:color w:val="auto"/>
                <w:sz w:val="18"/>
                <w:szCs w:val="18"/>
              </w:rPr>
            </w:pPr>
          </w:p>
        </w:tc>
        <w:tc>
          <w:tcPr>
            <w:tcW w:w="9270" w:type="dxa"/>
            <w:gridSpan w:val="6"/>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sz w:val="18"/>
                <w:szCs w:val="18"/>
              </w:rPr>
              <w:t xml:space="preserve">Develop business practice standards to support and complement NERC reliability standards, NERC policies and NERC standards authorization requests (SARs) using the NERC/NAESB Coordination Joint Standards Development Process as appropriate.  Current NAESB activities underway to develop business practice standards that are supportive of this annual plan item are: </w:t>
            </w:r>
          </w:p>
        </w:tc>
      </w:tr>
      <w:tr w:rsidR="002C55F4">
        <w:trPr>
          <w:cantSplit/>
        </w:trPr>
        <w:tc>
          <w:tcPr>
            <w:tcW w:w="360" w:type="dxa"/>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pStyle w:val="TableText"/>
              <w:spacing w:before="40" w:after="40"/>
              <w:ind w:left="144"/>
              <w:rPr>
                <w:rFonts w:ascii="Times New Roman" w:hAnsi="Times New Roman"/>
                <w:sz w:val="18"/>
                <w:szCs w:val="18"/>
              </w:rPr>
            </w:pPr>
            <w:r>
              <w:rPr>
                <w:rFonts w:ascii="Times New Roman" w:hAnsi="Times New Roman"/>
                <w:sz w:val="18"/>
                <w:szCs w:val="18"/>
              </w:rPr>
              <w:t>a)</w:t>
            </w:r>
          </w:p>
        </w:tc>
        <w:tc>
          <w:tcPr>
            <w:tcW w:w="6120" w:type="dxa"/>
            <w:gridSpan w:val="3"/>
          </w:tcPr>
          <w:p w:rsidR="002C55F4" w:rsidRDefault="002C55F4">
            <w:pPr>
              <w:pStyle w:val="TableText"/>
              <w:spacing w:before="40" w:after="40"/>
              <w:ind w:left="144"/>
              <w:rPr>
                <w:rFonts w:ascii="Times New Roman" w:hAnsi="Times New Roman"/>
                <w:sz w:val="18"/>
                <w:szCs w:val="18"/>
              </w:rPr>
            </w:pPr>
            <w:r>
              <w:rPr>
                <w:rFonts w:ascii="Times New Roman" w:hAnsi="Times New Roman"/>
                <w:sz w:val="18"/>
                <w:szCs w:val="18"/>
              </w:rPr>
              <w:t>Parallel Flow Visualization/Mitigation for Reliability Coordinators in the Eastern Interconnection – Permanent Solution</w:t>
            </w:r>
            <w:bookmarkStart w:id="4" w:name="_GoBack"/>
            <w:bookmarkEnd w:id="4"/>
          </w:p>
          <w:p w:rsidR="002C55F4" w:rsidRDefault="002C55F4">
            <w:pPr>
              <w:pStyle w:val="TableText"/>
              <w:spacing w:before="40" w:after="40"/>
              <w:ind w:left="144"/>
              <w:rPr>
                <w:rFonts w:ascii="Times New Roman" w:hAnsi="Times New Roman"/>
                <w:sz w:val="18"/>
                <w:szCs w:val="18"/>
              </w:rPr>
            </w:pPr>
            <w:r>
              <w:rPr>
                <w:rFonts w:ascii="Times New Roman" w:hAnsi="Times New Roman"/>
                <w:sz w:val="18"/>
                <w:szCs w:val="18"/>
              </w:rPr>
              <w:t xml:space="preserve">Note: Consideration should be given to provisional item </w:t>
            </w:r>
            <w:r w:rsidR="00356D3A">
              <w:rPr>
                <w:rFonts w:ascii="Times New Roman" w:hAnsi="Times New Roman"/>
                <w:sz w:val="18"/>
                <w:szCs w:val="18"/>
              </w:rPr>
              <w:t>2.a</w:t>
            </w:r>
            <w:r>
              <w:rPr>
                <w:rFonts w:ascii="Times New Roman" w:hAnsi="Times New Roman"/>
                <w:sz w:val="18"/>
                <w:szCs w:val="18"/>
              </w:rPr>
              <w:t xml:space="preserve">.  Work is being coordinated with the IDC </w:t>
            </w:r>
            <w:r w:rsidR="007B0527">
              <w:rPr>
                <w:rFonts w:ascii="Times New Roman" w:hAnsi="Times New Roman"/>
                <w:sz w:val="18"/>
                <w:szCs w:val="18"/>
              </w:rPr>
              <w:t>Association</w:t>
            </w:r>
            <w:r>
              <w:rPr>
                <w:rFonts w:ascii="Times New Roman" w:hAnsi="Times New Roman"/>
                <w:sz w:val="18"/>
                <w:szCs w:val="18"/>
              </w:rPr>
              <w:t>.</w:t>
            </w:r>
          </w:p>
          <w:p w:rsidR="002C55F4" w:rsidRDefault="002C55F4" w:rsidP="0067680B">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 xml:space="preserve">Status: </w:t>
            </w:r>
            <w:r w:rsidR="0067680B">
              <w:rPr>
                <w:rFonts w:ascii="Times New Roman" w:hAnsi="Times New Roman"/>
                <w:sz w:val="18"/>
                <w:szCs w:val="18"/>
              </w:rPr>
              <w:t>Full Staffing</w:t>
            </w:r>
          </w:p>
        </w:tc>
        <w:tc>
          <w:tcPr>
            <w:tcW w:w="1170" w:type="dxa"/>
          </w:tcPr>
          <w:p w:rsidR="002C55F4" w:rsidRDefault="001E11CB" w:rsidP="005052EE">
            <w:pPr>
              <w:pStyle w:val="TableText"/>
              <w:widowControl w:val="0"/>
              <w:spacing w:before="40" w:after="40"/>
              <w:ind w:left="144"/>
              <w:jc w:val="center"/>
              <w:rPr>
                <w:rFonts w:ascii="Times New Roman" w:hAnsi="Times New Roman"/>
                <w:color w:val="auto"/>
                <w:sz w:val="18"/>
                <w:szCs w:val="18"/>
              </w:rPr>
            </w:pPr>
            <w:r>
              <w:rPr>
                <w:rFonts w:ascii="Times New Roman" w:hAnsi="Times New Roman"/>
                <w:sz w:val="18"/>
                <w:szCs w:val="18"/>
              </w:rPr>
              <w:t>TBD</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BPS</w:t>
            </w:r>
          </w:p>
        </w:tc>
      </w:tr>
      <w:tr w:rsidR="002C55F4">
        <w:trPr>
          <w:cantSplit/>
        </w:trPr>
        <w:tc>
          <w:tcPr>
            <w:tcW w:w="360" w:type="dxa"/>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b)</w:t>
            </w:r>
          </w:p>
        </w:tc>
        <w:tc>
          <w:tcPr>
            <w:tcW w:w="6120" w:type="dxa"/>
            <w:gridSpan w:val="3"/>
          </w:tcPr>
          <w:p w:rsidR="002C55F4" w:rsidRDefault="002C55F4">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Perform consistency review of WEQ-008 Transmission Loading Relief Business Practice Standards and develop recommendation.</w:t>
            </w:r>
            <w:r>
              <w:rPr>
                <w:rStyle w:val="FootnoteReference"/>
                <w:rFonts w:ascii="Times New Roman" w:hAnsi="Times New Roman"/>
                <w:sz w:val="18"/>
                <w:szCs w:val="18"/>
              </w:rPr>
              <w:footnoteReference w:id="1"/>
            </w:r>
          </w:p>
          <w:p w:rsidR="002C55F4" w:rsidRDefault="002C55F4">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 xml:space="preserve">Status: </w:t>
            </w:r>
            <w:r w:rsidR="0067680B">
              <w:rPr>
                <w:rFonts w:ascii="Times New Roman" w:hAnsi="Times New Roman"/>
                <w:sz w:val="18"/>
                <w:szCs w:val="18"/>
              </w:rPr>
              <w:t>Full Staffing</w:t>
            </w:r>
          </w:p>
        </w:tc>
        <w:tc>
          <w:tcPr>
            <w:tcW w:w="1170" w:type="dxa"/>
          </w:tcPr>
          <w:p w:rsidR="002C55F4" w:rsidRDefault="001E11CB">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TBD</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BPS</w:t>
            </w:r>
          </w:p>
        </w:tc>
      </w:tr>
      <w:tr w:rsidR="002C55F4">
        <w:trPr>
          <w:cantSplit/>
        </w:trPr>
        <w:tc>
          <w:tcPr>
            <w:tcW w:w="360" w:type="dxa"/>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c)</w:t>
            </w:r>
          </w:p>
        </w:tc>
        <w:tc>
          <w:tcPr>
            <w:tcW w:w="6120" w:type="dxa"/>
            <w:gridSpan w:val="3"/>
          </w:tcPr>
          <w:p w:rsidR="002C55F4" w:rsidRDefault="002C55F4">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 xml:space="preserve">Disturbance Control Standard (DCS) (BAL-002) Coordination with NERC </w:t>
            </w:r>
            <w:hyperlink r:id="rId9" w:history="1">
              <w:r>
                <w:rPr>
                  <w:rStyle w:val="Hyperlink"/>
                  <w:rFonts w:ascii="Times New Roman" w:hAnsi="Times New Roman"/>
                  <w:sz w:val="18"/>
                  <w:szCs w:val="18"/>
                </w:rPr>
                <w:t>Project 2010-14.1 Phase 1 of Balancing Authority Reliability-based Controls: Reserves</w:t>
              </w:r>
            </w:hyperlink>
          </w:p>
          <w:p w:rsidR="002C55F4" w:rsidRDefault="002C55F4" w:rsidP="005E5198">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 xml:space="preserve">Status: </w:t>
            </w:r>
            <w:r w:rsidR="001421C5">
              <w:rPr>
                <w:rFonts w:ascii="Times New Roman" w:hAnsi="Times New Roman"/>
                <w:sz w:val="18"/>
                <w:szCs w:val="18"/>
              </w:rPr>
              <w:t>Complete</w:t>
            </w:r>
          </w:p>
        </w:tc>
        <w:tc>
          <w:tcPr>
            <w:tcW w:w="1170" w:type="dxa"/>
          </w:tcPr>
          <w:p w:rsidR="002C55F4" w:rsidRDefault="001421C5">
            <w:pPr>
              <w:pStyle w:val="TableText"/>
              <w:widowControl w:val="0"/>
              <w:spacing w:before="40" w:after="40"/>
              <w:ind w:left="144"/>
              <w:jc w:val="center"/>
              <w:rPr>
                <w:rFonts w:ascii="Times New Roman" w:hAnsi="Times New Roman"/>
                <w:color w:val="auto"/>
                <w:sz w:val="18"/>
                <w:szCs w:val="18"/>
                <w:vertAlign w:val="superscript"/>
              </w:rPr>
            </w:pPr>
            <w:r>
              <w:rPr>
                <w:rFonts w:ascii="Times New Roman" w:hAnsi="Times New Roman"/>
                <w:color w:val="auto"/>
                <w:sz w:val="18"/>
                <w:szCs w:val="18"/>
              </w:rPr>
              <w:t>4th Q, 2015</w:t>
            </w:r>
          </w:p>
        </w:tc>
        <w:tc>
          <w:tcPr>
            <w:tcW w:w="1620" w:type="dxa"/>
          </w:tcPr>
          <w:p w:rsidR="002C55F4" w:rsidRDefault="002C55F4" w:rsidP="005E5198">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BPS</w:t>
            </w:r>
          </w:p>
        </w:tc>
      </w:tr>
      <w:tr w:rsidR="002C55F4">
        <w:trPr>
          <w:cantSplit/>
        </w:trPr>
        <w:tc>
          <w:tcPr>
            <w:tcW w:w="360" w:type="dxa"/>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d)</w:t>
            </w:r>
          </w:p>
        </w:tc>
        <w:tc>
          <w:tcPr>
            <w:tcW w:w="6120" w:type="dxa"/>
            <w:gridSpan w:val="3"/>
          </w:tcPr>
          <w:p w:rsidR="002C55F4" w:rsidRDefault="002C55F4">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Revise TLR level 5 to be treated similarly to TLR Level 3 in terms of treating the next hour allocation separately from that of current hour. (</w:t>
            </w:r>
            <w:hyperlink r:id="rId10" w:history="1">
              <w:r w:rsidRPr="00702205">
                <w:rPr>
                  <w:rStyle w:val="Hyperlink"/>
                  <w:rFonts w:ascii="Times New Roman" w:hAnsi="Times New Roman"/>
                  <w:sz w:val="18"/>
                  <w:szCs w:val="18"/>
                </w:rPr>
                <w:t>R11020</w:t>
              </w:r>
            </w:hyperlink>
            <w:r>
              <w:rPr>
                <w:rFonts w:ascii="Times New Roman" w:hAnsi="Times New Roman"/>
                <w:sz w:val="18"/>
                <w:szCs w:val="18"/>
              </w:rPr>
              <w:t>)</w:t>
            </w:r>
          </w:p>
          <w:p w:rsidR="002C55F4" w:rsidRDefault="002C55F4">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 xml:space="preserve">Status: </w:t>
            </w:r>
            <w:r w:rsidR="0067680B">
              <w:rPr>
                <w:rFonts w:ascii="Times New Roman" w:hAnsi="Times New Roman"/>
                <w:sz w:val="18"/>
                <w:szCs w:val="18"/>
              </w:rPr>
              <w:t>Full Staffing</w:t>
            </w:r>
          </w:p>
        </w:tc>
        <w:tc>
          <w:tcPr>
            <w:tcW w:w="1170" w:type="dxa"/>
          </w:tcPr>
          <w:p w:rsidR="002C55F4" w:rsidRDefault="001E11CB">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TBD</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BPS</w:t>
            </w:r>
          </w:p>
        </w:tc>
      </w:tr>
      <w:tr w:rsidR="002C55F4">
        <w:trPr>
          <w:cantSplit/>
        </w:trPr>
        <w:tc>
          <w:tcPr>
            <w:tcW w:w="360" w:type="dxa"/>
          </w:tcPr>
          <w:p w:rsidR="002C55F4" w:rsidRDefault="002C55F4">
            <w:pPr>
              <w:pStyle w:val="TableText"/>
              <w:spacing w:before="40" w:after="40"/>
              <w:ind w:left="144"/>
              <w:rPr>
                <w:rFonts w:ascii="Times New Roman" w:hAnsi="Times New Roman"/>
                <w:color w:val="auto"/>
                <w:sz w:val="18"/>
                <w:szCs w:val="18"/>
                <w:highlight w:val="yellow"/>
              </w:rPr>
            </w:pPr>
          </w:p>
        </w:tc>
        <w:tc>
          <w:tcPr>
            <w:tcW w:w="360" w:type="dxa"/>
          </w:tcPr>
          <w:p w:rsidR="002C55F4" w:rsidRDefault="003423E0">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e</w:t>
            </w:r>
            <w:r w:rsidR="002C55F4">
              <w:rPr>
                <w:rFonts w:ascii="Times New Roman" w:hAnsi="Times New Roman"/>
                <w:sz w:val="18"/>
                <w:szCs w:val="18"/>
              </w:rPr>
              <w:t>)</w:t>
            </w:r>
          </w:p>
        </w:tc>
        <w:tc>
          <w:tcPr>
            <w:tcW w:w="6120" w:type="dxa"/>
            <w:gridSpan w:val="3"/>
          </w:tcPr>
          <w:p w:rsidR="001D63A5" w:rsidRPr="00705D7D" w:rsidRDefault="00027A70" w:rsidP="00027A70">
            <w:pPr>
              <w:pStyle w:val="TableText"/>
              <w:tabs>
                <w:tab w:val="num" w:pos="433"/>
              </w:tabs>
              <w:spacing w:before="40" w:after="40"/>
              <w:ind w:left="144"/>
              <w:rPr>
                <w:rFonts w:ascii="Times New Roman" w:hAnsi="Times New Roman"/>
                <w:sz w:val="18"/>
                <w:szCs w:val="18"/>
              </w:rPr>
            </w:pPr>
            <w:r w:rsidRPr="00705D7D">
              <w:rPr>
                <w:rFonts w:ascii="Times New Roman" w:hAnsi="Times New Roman"/>
                <w:sz w:val="18"/>
                <w:szCs w:val="18"/>
              </w:rPr>
              <w:t xml:space="preserve">Develop, </w:t>
            </w:r>
            <w:r w:rsidR="00855AF1" w:rsidRPr="00705D7D">
              <w:rPr>
                <w:rFonts w:ascii="Times New Roman" w:hAnsi="Times New Roman"/>
                <w:sz w:val="18"/>
                <w:szCs w:val="18"/>
              </w:rPr>
              <w:t xml:space="preserve">modify or delete business practice standards to support request </w:t>
            </w:r>
            <w:hyperlink r:id="rId11" w:history="1">
              <w:r w:rsidR="00855AF1" w:rsidRPr="00705D7D">
                <w:rPr>
                  <w:rStyle w:val="Hyperlink"/>
                  <w:rFonts w:ascii="Times New Roman" w:hAnsi="Times New Roman"/>
                  <w:sz w:val="18"/>
                  <w:szCs w:val="18"/>
                </w:rPr>
                <w:t>R1400</w:t>
              </w:r>
              <w:r w:rsidRPr="00705D7D">
                <w:rPr>
                  <w:rStyle w:val="Hyperlink"/>
                  <w:rFonts w:ascii="Times New Roman" w:hAnsi="Times New Roman"/>
                  <w:sz w:val="18"/>
                  <w:szCs w:val="18"/>
                </w:rPr>
                <w:t>2</w:t>
              </w:r>
            </w:hyperlink>
            <w:r w:rsidR="001D63A5" w:rsidRPr="00705D7D">
              <w:rPr>
                <w:rFonts w:ascii="Times New Roman" w:hAnsi="Times New Roman"/>
                <w:sz w:val="18"/>
                <w:szCs w:val="18"/>
              </w:rPr>
              <w:t xml:space="preserve"> (</w:t>
            </w:r>
            <w:r w:rsidRPr="00705D7D">
              <w:rPr>
                <w:rFonts w:ascii="Times New Roman" w:hAnsi="Times New Roman"/>
                <w:sz w:val="18"/>
                <w:szCs w:val="18"/>
              </w:rPr>
              <w:t xml:space="preserve">NERC </w:t>
            </w:r>
            <w:hyperlink r:id="rId12" w:history="1">
              <w:r w:rsidRPr="00705D7D">
                <w:rPr>
                  <w:rStyle w:val="Hyperlink"/>
                  <w:rFonts w:ascii="Times New Roman" w:hAnsi="Times New Roman"/>
                  <w:sz w:val="18"/>
                  <w:szCs w:val="18"/>
                </w:rPr>
                <w:t xml:space="preserve">Project 2012-05 </w:t>
              </w:r>
              <w:r w:rsidR="001D63A5" w:rsidRPr="00705D7D">
                <w:rPr>
                  <w:rStyle w:val="Hyperlink"/>
                  <w:rFonts w:ascii="Times New Roman" w:hAnsi="Times New Roman"/>
                  <w:sz w:val="18"/>
                  <w:szCs w:val="18"/>
                </w:rPr>
                <w:t>ATC Revisions (MOD A</w:t>
              </w:r>
            </w:hyperlink>
            <w:r w:rsidR="001D63A5" w:rsidRPr="00705D7D">
              <w:rPr>
                <w:rFonts w:ascii="Times New Roman" w:hAnsi="Times New Roman"/>
                <w:sz w:val="18"/>
                <w:szCs w:val="18"/>
              </w:rPr>
              <w:t>)).</w:t>
            </w:r>
            <w:r w:rsidR="001D63A5" w:rsidRPr="00705D7D">
              <w:rPr>
                <w:rStyle w:val="FootnoteReference"/>
                <w:rFonts w:ascii="Times New Roman" w:hAnsi="Times New Roman"/>
                <w:sz w:val="18"/>
                <w:szCs w:val="18"/>
              </w:rPr>
              <w:t xml:space="preserve"> </w:t>
            </w:r>
            <w:r w:rsidR="001D63A5" w:rsidRPr="00705D7D">
              <w:rPr>
                <w:rStyle w:val="FootnoteReference"/>
                <w:rFonts w:ascii="Times New Roman" w:hAnsi="Times New Roman"/>
                <w:sz w:val="18"/>
                <w:szCs w:val="18"/>
              </w:rPr>
              <w:footnoteReference w:id="2"/>
            </w:r>
          </w:p>
          <w:p w:rsidR="002C55F4" w:rsidRPr="009D3295" w:rsidRDefault="002C55F4">
            <w:pPr>
              <w:pStyle w:val="TableText"/>
              <w:tabs>
                <w:tab w:val="num" w:pos="433"/>
              </w:tabs>
              <w:spacing w:before="40" w:after="40"/>
              <w:ind w:left="144"/>
              <w:rPr>
                <w:rFonts w:ascii="Times New Roman" w:hAnsi="Times New Roman"/>
                <w:sz w:val="18"/>
                <w:szCs w:val="18"/>
              </w:rPr>
            </w:pPr>
            <w:r w:rsidRPr="00705D7D">
              <w:rPr>
                <w:rFonts w:ascii="Times New Roman" w:hAnsi="Times New Roman"/>
                <w:sz w:val="18"/>
                <w:szCs w:val="18"/>
              </w:rPr>
              <w:t xml:space="preserve">Status: </w:t>
            </w:r>
            <w:r w:rsidR="007621C4">
              <w:rPr>
                <w:rFonts w:ascii="Times New Roman" w:hAnsi="Times New Roman"/>
                <w:sz w:val="18"/>
                <w:szCs w:val="18"/>
              </w:rPr>
              <w:t>Completed</w:t>
            </w:r>
          </w:p>
        </w:tc>
        <w:tc>
          <w:tcPr>
            <w:tcW w:w="1170" w:type="dxa"/>
          </w:tcPr>
          <w:p w:rsidR="002C55F4" w:rsidRPr="00705D7D" w:rsidRDefault="00DC01F0">
            <w:pPr>
              <w:pStyle w:val="TableText"/>
              <w:widowControl w:val="0"/>
              <w:spacing w:before="40" w:after="40"/>
              <w:ind w:left="144"/>
              <w:jc w:val="center"/>
              <w:rPr>
                <w:rFonts w:ascii="Times New Roman" w:hAnsi="Times New Roman"/>
                <w:color w:val="auto"/>
                <w:sz w:val="18"/>
                <w:szCs w:val="18"/>
                <w:vertAlign w:val="superscript"/>
              </w:rPr>
            </w:pPr>
            <w:r>
              <w:rPr>
                <w:rFonts w:ascii="Times New Roman" w:hAnsi="Times New Roman"/>
                <w:color w:val="auto"/>
                <w:sz w:val="18"/>
                <w:szCs w:val="18"/>
              </w:rPr>
              <w:t>2</w:t>
            </w:r>
            <w:r w:rsidRPr="00705D7D">
              <w:rPr>
                <w:rFonts w:ascii="Times New Roman" w:hAnsi="Times New Roman"/>
                <w:color w:val="auto"/>
                <w:sz w:val="18"/>
                <w:szCs w:val="18"/>
                <w:vertAlign w:val="superscript"/>
              </w:rPr>
              <w:t>n</w:t>
            </w:r>
            <w:r>
              <w:rPr>
                <w:rFonts w:ascii="Times New Roman" w:hAnsi="Times New Roman"/>
                <w:color w:val="auto"/>
                <w:sz w:val="18"/>
                <w:szCs w:val="18"/>
                <w:vertAlign w:val="superscript"/>
              </w:rPr>
              <w:t xml:space="preserve">d </w:t>
            </w:r>
            <w:r>
              <w:rPr>
                <w:rFonts w:ascii="Times New Roman" w:hAnsi="Times New Roman"/>
                <w:color w:val="auto"/>
                <w:sz w:val="18"/>
                <w:szCs w:val="18"/>
              </w:rPr>
              <w:t>Q, 2015</w:t>
            </w:r>
            <w:r>
              <w:rPr>
                <w:rFonts w:ascii="Times New Roman" w:hAnsi="Times New Roman"/>
                <w:color w:val="auto"/>
                <w:sz w:val="18"/>
                <w:szCs w:val="18"/>
                <w:vertAlign w:val="superscript"/>
              </w:rPr>
              <w:t xml:space="preserve">  </w:t>
            </w:r>
            <w:r>
              <w:rPr>
                <w:rFonts w:ascii="Times New Roman" w:hAnsi="Times New Roman"/>
                <w:color w:val="auto"/>
                <w:sz w:val="18"/>
                <w:szCs w:val="18"/>
              </w:rPr>
              <w:t xml:space="preserve">  </w:t>
            </w:r>
          </w:p>
        </w:tc>
        <w:tc>
          <w:tcPr>
            <w:tcW w:w="1620" w:type="dxa"/>
          </w:tcPr>
          <w:p w:rsidR="002C55F4" w:rsidRDefault="00855AF1">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BPS</w:t>
            </w:r>
          </w:p>
        </w:tc>
      </w:tr>
      <w:tr w:rsidR="002C55F4" w:rsidTr="009F0AF5">
        <w:tc>
          <w:tcPr>
            <w:tcW w:w="360" w:type="dxa"/>
          </w:tcPr>
          <w:p w:rsidR="002C55F4" w:rsidRDefault="002C55F4" w:rsidP="00235A38">
            <w:pPr>
              <w:pStyle w:val="TableText"/>
              <w:spacing w:before="40" w:after="40"/>
              <w:ind w:left="144"/>
              <w:rPr>
                <w:rFonts w:ascii="Times New Roman" w:hAnsi="Times New Roman"/>
                <w:color w:val="auto"/>
                <w:sz w:val="18"/>
                <w:szCs w:val="18"/>
                <w:highlight w:val="yellow"/>
              </w:rPr>
            </w:pPr>
          </w:p>
        </w:tc>
        <w:tc>
          <w:tcPr>
            <w:tcW w:w="360" w:type="dxa"/>
          </w:tcPr>
          <w:p w:rsidR="002C55F4" w:rsidRDefault="00CD5004" w:rsidP="00235A38">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f</w:t>
            </w:r>
            <w:r w:rsidR="002C55F4">
              <w:rPr>
                <w:rFonts w:ascii="Times New Roman" w:hAnsi="Times New Roman"/>
                <w:sz w:val="18"/>
                <w:szCs w:val="18"/>
              </w:rPr>
              <w:t>)</w:t>
            </w:r>
          </w:p>
        </w:tc>
        <w:tc>
          <w:tcPr>
            <w:tcW w:w="6120" w:type="dxa"/>
            <w:gridSpan w:val="3"/>
          </w:tcPr>
          <w:p w:rsidR="002C55F4" w:rsidRDefault="002C55F4" w:rsidP="00235A38">
            <w:pPr>
              <w:pStyle w:val="TableText"/>
              <w:tabs>
                <w:tab w:val="num" w:pos="433"/>
              </w:tabs>
              <w:spacing w:before="40" w:after="40"/>
              <w:ind w:left="144"/>
              <w:rPr>
                <w:rFonts w:ascii="Times New Roman" w:hAnsi="Times New Roman"/>
                <w:sz w:val="18"/>
                <w:szCs w:val="18"/>
              </w:rPr>
            </w:pPr>
            <w:r w:rsidRPr="00354F0B">
              <w:rPr>
                <w:rFonts w:ascii="Times New Roman" w:hAnsi="Times New Roman"/>
                <w:sz w:val="18"/>
                <w:szCs w:val="18"/>
              </w:rPr>
              <w:t xml:space="preserve">Develop, modify or delete business practices </w:t>
            </w:r>
            <w:r w:rsidRPr="001E20B6">
              <w:rPr>
                <w:rFonts w:ascii="Times New Roman" w:hAnsi="Times New Roman"/>
                <w:sz w:val="18"/>
                <w:szCs w:val="18"/>
              </w:rPr>
              <w:t xml:space="preserve">standards </w:t>
            </w:r>
            <w:r w:rsidRPr="00354F0B">
              <w:rPr>
                <w:rFonts w:ascii="Times New Roman" w:hAnsi="Times New Roman"/>
                <w:sz w:val="18"/>
                <w:szCs w:val="18"/>
              </w:rPr>
              <w:t xml:space="preserve">to support </w:t>
            </w:r>
            <w:r>
              <w:rPr>
                <w:rFonts w:ascii="Times New Roman" w:hAnsi="Times New Roman"/>
                <w:sz w:val="18"/>
                <w:szCs w:val="18"/>
              </w:rPr>
              <w:t>NERC activities related to</w:t>
            </w:r>
            <w:r w:rsidRPr="00354F0B">
              <w:rPr>
                <w:rFonts w:ascii="Times New Roman" w:hAnsi="Times New Roman"/>
                <w:sz w:val="18"/>
                <w:szCs w:val="18"/>
              </w:rPr>
              <w:t xml:space="preserve"> NERC</w:t>
            </w:r>
            <w:r>
              <w:rPr>
                <w:rFonts w:ascii="Times New Roman" w:hAnsi="Times New Roman"/>
                <w:sz w:val="18"/>
                <w:szCs w:val="18"/>
              </w:rPr>
              <w:t xml:space="preserve"> Time Error Correction</w:t>
            </w:r>
            <w:r w:rsidRPr="00354F0B">
              <w:rPr>
                <w:rFonts w:ascii="Times New Roman" w:hAnsi="Times New Roman"/>
                <w:sz w:val="18"/>
                <w:szCs w:val="18"/>
              </w:rPr>
              <w:t xml:space="preserve"> </w:t>
            </w:r>
            <w:r>
              <w:rPr>
                <w:rFonts w:ascii="Times New Roman" w:hAnsi="Times New Roman"/>
                <w:sz w:val="18"/>
                <w:szCs w:val="18"/>
              </w:rPr>
              <w:t>(BAL-00</w:t>
            </w:r>
            <w:r w:rsidRPr="001E20B6">
              <w:rPr>
                <w:rFonts w:ascii="Times New Roman" w:hAnsi="Times New Roman"/>
                <w:sz w:val="18"/>
                <w:szCs w:val="18"/>
              </w:rPr>
              <w:t>4-</w:t>
            </w:r>
            <w:r w:rsidR="007F11D3">
              <w:rPr>
                <w:rFonts w:ascii="Times New Roman" w:hAnsi="Times New Roman"/>
                <w:sz w:val="18"/>
                <w:szCs w:val="18"/>
              </w:rPr>
              <w:t>0</w:t>
            </w:r>
            <w:r>
              <w:rPr>
                <w:rFonts w:ascii="Times New Roman" w:hAnsi="Times New Roman"/>
                <w:sz w:val="18"/>
                <w:szCs w:val="18"/>
              </w:rPr>
              <w:t>)</w:t>
            </w:r>
          </w:p>
          <w:p w:rsidR="002C55F4" w:rsidRPr="00C10599" w:rsidRDefault="002C55F4" w:rsidP="00235A38">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 xml:space="preserve">Status: </w:t>
            </w:r>
            <w:r w:rsidR="00733E70">
              <w:rPr>
                <w:rFonts w:ascii="Times New Roman" w:hAnsi="Times New Roman"/>
                <w:sz w:val="18"/>
                <w:szCs w:val="18"/>
              </w:rPr>
              <w:t>Monitor</w:t>
            </w:r>
          </w:p>
        </w:tc>
        <w:tc>
          <w:tcPr>
            <w:tcW w:w="1170" w:type="dxa"/>
          </w:tcPr>
          <w:p w:rsidR="002C55F4" w:rsidRDefault="007F11D3" w:rsidP="00235A38">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TBD</w:t>
            </w:r>
          </w:p>
        </w:tc>
        <w:tc>
          <w:tcPr>
            <w:tcW w:w="1620" w:type="dxa"/>
          </w:tcPr>
          <w:p w:rsidR="002C55F4" w:rsidRDefault="002C55F4" w:rsidP="00235A38">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BPS</w:t>
            </w:r>
            <w:r w:rsidR="009F0AF5">
              <w:rPr>
                <w:rFonts w:ascii="Times New Roman" w:hAnsi="Times New Roman"/>
                <w:color w:val="auto"/>
                <w:sz w:val="18"/>
                <w:szCs w:val="18"/>
              </w:rPr>
              <w:t>/TIMTF</w:t>
            </w:r>
          </w:p>
        </w:tc>
      </w:tr>
      <w:tr w:rsidR="002C55F4" w:rsidTr="009F0AF5">
        <w:tc>
          <w:tcPr>
            <w:tcW w:w="360" w:type="dxa"/>
          </w:tcPr>
          <w:p w:rsidR="002C55F4" w:rsidRDefault="002C55F4" w:rsidP="00235A38">
            <w:pPr>
              <w:pStyle w:val="TableText"/>
              <w:spacing w:before="40" w:after="40"/>
              <w:ind w:left="144"/>
              <w:rPr>
                <w:rFonts w:ascii="Times New Roman" w:hAnsi="Times New Roman"/>
                <w:b/>
                <w:color w:val="auto"/>
                <w:sz w:val="18"/>
                <w:szCs w:val="18"/>
              </w:rPr>
            </w:pPr>
            <w:r>
              <w:rPr>
                <w:rFonts w:ascii="Times New Roman" w:hAnsi="Times New Roman"/>
                <w:b/>
                <w:color w:val="auto"/>
                <w:sz w:val="18"/>
                <w:szCs w:val="18"/>
              </w:rPr>
              <w:t>2</w:t>
            </w:r>
            <w:r w:rsidR="00C87CA5">
              <w:rPr>
                <w:rFonts w:ascii="Times New Roman" w:hAnsi="Times New Roman"/>
                <w:b/>
                <w:color w:val="auto"/>
                <w:sz w:val="18"/>
                <w:szCs w:val="18"/>
              </w:rPr>
              <w:t>.</w:t>
            </w:r>
          </w:p>
        </w:tc>
        <w:tc>
          <w:tcPr>
            <w:tcW w:w="9270" w:type="dxa"/>
            <w:gridSpan w:val="6"/>
          </w:tcPr>
          <w:p w:rsidR="002C55F4" w:rsidRDefault="002C55F4" w:rsidP="00235A38">
            <w:pPr>
              <w:pStyle w:val="TableText"/>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Develop business practice standards in support of the FERC RM05-25-000 and RM05-17-000 (OATT Reform)</w:t>
            </w:r>
            <w:r>
              <w:rPr>
                <w:rStyle w:val="FootnoteReference"/>
                <w:rFonts w:ascii="Times New Roman" w:hAnsi="Times New Roman"/>
                <w:b/>
                <w:color w:val="auto"/>
                <w:sz w:val="18"/>
                <w:szCs w:val="18"/>
              </w:rPr>
              <w:footnoteReference w:id="3"/>
            </w:r>
          </w:p>
        </w:tc>
      </w:tr>
      <w:tr w:rsidR="002C55F4" w:rsidTr="009F0AF5">
        <w:tc>
          <w:tcPr>
            <w:tcW w:w="360" w:type="dxa"/>
          </w:tcPr>
          <w:p w:rsidR="002C55F4" w:rsidRDefault="002C55F4" w:rsidP="00235A38">
            <w:pPr>
              <w:pStyle w:val="TableText"/>
              <w:spacing w:before="40" w:after="40"/>
              <w:ind w:left="144"/>
              <w:rPr>
                <w:rFonts w:ascii="Times New Roman" w:hAnsi="Times New Roman"/>
                <w:color w:val="auto"/>
                <w:sz w:val="18"/>
                <w:szCs w:val="18"/>
              </w:rPr>
            </w:pPr>
          </w:p>
        </w:tc>
        <w:tc>
          <w:tcPr>
            <w:tcW w:w="360" w:type="dxa"/>
          </w:tcPr>
          <w:p w:rsidR="002C55F4" w:rsidRDefault="002C55F4" w:rsidP="00235A38">
            <w:pPr>
              <w:pStyle w:val="TableText"/>
              <w:widowControl w:val="0"/>
              <w:spacing w:before="40" w:after="40"/>
              <w:ind w:left="144"/>
              <w:rPr>
                <w:rFonts w:ascii="Times New Roman" w:hAnsi="Times New Roman"/>
                <w:sz w:val="18"/>
                <w:szCs w:val="18"/>
              </w:rPr>
            </w:pPr>
            <w:r>
              <w:rPr>
                <w:rFonts w:ascii="Times New Roman" w:hAnsi="Times New Roman"/>
                <w:sz w:val="18"/>
                <w:szCs w:val="18"/>
              </w:rPr>
              <w:t>a)</w:t>
            </w:r>
          </w:p>
        </w:tc>
        <w:tc>
          <w:tcPr>
            <w:tcW w:w="8910" w:type="dxa"/>
            <w:gridSpan w:val="5"/>
          </w:tcPr>
          <w:p w:rsidR="002C55F4" w:rsidRDefault="002C55F4" w:rsidP="00235A38">
            <w:pPr>
              <w:pStyle w:val="TableText"/>
              <w:tabs>
                <w:tab w:val="num" w:pos="73"/>
              </w:tabs>
              <w:spacing w:before="40" w:after="40"/>
              <w:ind w:left="144"/>
              <w:rPr>
                <w:rFonts w:ascii="Times New Roman" w:hAnsi="Times New Roman"/>
                <w:sz w:val="18"/>
                <w:szCs w:val="18"/>
              </w:rPr>
            </w:pPr>
            <w:r>
              <w:rPr>
                <w:rFonts w:ascii="Times New Roman" w:hAnsi="Times New Roman"/>
                <w:sz w:val="18"/>
                <w:szCs w:val="18"/>
              </w:rPr>
              <w:t xml:space="preserve">Develop version </w:t>
            </w:r>
            <w:r w:rsidR="007F11D3">
              <w:rPr>
                <w:rFonts w:ascii="Times New Roman" w:hAnsi="Times New Roman"/>
                <w:sz w:val="18"/>
                <w:szCs w:val="18"/>
              </w:rPr>
              <w:t>3</w:t>
            </w:r>
            <w:r>
              <w:rPr>
                <w:rFonts w:ascii="Times New Roman" w:hAnsi="Times New Roman"/>
                <w:sz w:val="18"/>
                <w:szCs w:val="18"/>
              </w:rPr>
              <w:t xml:space="preserve"> business practice standards to better coordinate the use of the transmission system among neighboring transmission providers.</w:t>
            </w:r>
          </w:p>
          <w:p w:rsidR="002C55F4" w:rsidRDefault="002C55F4" w:rsidP="00235A38">
            <w:pPr>
              <w:pStyle w:val="TableText"/>
              <w:widowControl w:val="0"/>
              <w:spacing w:before="40" w:after="40"/>
              <w:ind w:left="144"/>
              <w:rPr>
                <w:rFonts w:ascii="Times New Roman" w:hAnsi="Times New Roman"/>
                <w:sz w:val="18"/>
                <w:szCs w:val="18"/>
              </w:rPr>
            </w:pPr>
            <w:r>
              <w:rPr>
                <w:rFonts w:ascii="Times New Roman" w:hAnsi="Times New Roman"/>
                <w:sz w:val="18"/>
                <w:szCs w:val="18"/>
              </w:rPr>
              <w:t>Status: Underway</w:t>
            </w:r>
          </w:p>
          <w:p w:rsidR="002C55F4" w:rsidRDefault="002C55F4" w:rsidP="00235A38">
            <w:pPr>
              <w:pStyle w:val="TableText"/>
              <w:widowControl w:val="0"/>
              <w:spacing w:before="40" w:after="40"/>
              <w:ind w:left="144"/>
              <w:rPr>
                <w:rFonts w:ascii="Times New Roman" w:hAnsi="Times New Roman"/>
                <w:sz w:val="18"/>
                <w:szCs w:val="18"/>
              </w:rPr>
            </w:pPr>
            <w:r>
              <w:rPr>
                <w:rFonts w:ascii="Times New Roman" w:hAnsi="Times New Roman"/>
                <w:sz w:val="18"/>
                <w:szCs w:val="18"/>
              </w:rPr>
              <w:t xml:space="preserve">Request R05004 was expanded to include the </w:t>
            </w:r>
            <w:hyperlink r:id="rId13" w:history="1">
              <w:r>
                <w:rPr>
                  <w:rStyle w:val="Hyperlink"/>
                  <w:rFonts w:ascii="Times New Roman" w:hAnsi="Times New Roman"/>
                  <w:sz w:val="18"/>
                  <w:szCs w:val="18"/>
                </w:rPr>
                <w:t>Order No. 890 (Docket Nos.RM05-17-000 and RM02-25-000)</w:t>
              </w:r>
            </w:hyperlink>
            <w:r>
              <w:rPr>
                <w:rFonts w:ascii="Times New Roman" w:hAnsi="Times New Roman"/>
                <w:sz w:val="18"/>
                <w:szCs w:val="18"/>
              </w:rPr>
              <w:t>, (</w:t>
            </w:r>
            <w:hyperlink r:id="rId14" w:history="1">
              <w:r>
                <w:rPr>
                  <w:rStyle w:val="Hyperlink"/>
                  <w:rFonts w:ascii="Times New Roman" w:hAnsi="Times New Roman"/>
                  <w:sz w:val="18"/>
                  <w:szCs w:val="18"/>
                </w:rPr>
                <w:t>Order No. 890-A (Docket Nos. RM05-17-001, 002 and RM05-25-001, 002</w:t>
              </w:r>
            </w:hyperlink>
            <w:r>
              <w:rPr>
                <w:rFonts w:ascii="Times New Roman" w:hAnsi="Times New Roman"/>
                <w:sz w:val="18"/>
                <w:szCs w:val="18"/>
              </w:rPr>
              <w:t xml:space="preserve">), and </w:t>
            </w:r>
            <w:hyperlink r:id="rId15" w:history="1">
              <w:r>
                <w:rPr>
                  <w:rStyle w:val="Hyperlink"/>
                  <w:rFonts w:ascii="Times New Roman" w:hAnsi="Times New Roman"/>
                  <w:sz w:val="18"/>
                  <w:szCs w:val="18"/>
                </w:rPr>
                <w:t>Order No. 890-B (Docket Nos. RM05-17-03 and RM05-25-03)</w:t>
              </w:r>
            </w:hyperlink>
            <w:r>
              <w:rPr>
                <w:rFonts w:ascii="Times New Roman" w:hAnsi="Times New Roman"/>
                <w:sz w:val="18"/>
                <w:szCs w:val="18"/>
              </w:rPr>
              <w:t xml:space="preserve"> “Preventing Undue Discrimination and Preference in Transmission Services” </w:t>
            </w:r>
          </w:p>
        </w:tc>
      </w:tr>
      <w:tr w:rsidR="002C55F4">
        <w:tc>
          <w:tcPr>
            <w:tcW w:w="360" w:type="dxa"/>
          </w:tcPr>
          <w:p w:rsidR="002C55F4" w:rsidRDefault="002C55F4">
            <w:pPr>
              <w:pStyle w:val="TableText"/>
              <w:keepNext/>
              <w:keepLines/>
              <w:spacing w:before="40" w:after="40"/>
              <w:ind w:left="144"/>
              <w:rPr>
                <w:rFonts w:ascii="Times New Roman" w:hAnsi="Times New Roman"/>
                <w:color w:val="auto"/>
                <w:sz w:val="18"/>
                <w:szCs w:val="18"/>
              </w:rPr>
            </w:pPr>
          </w:p>
        </w:tc>
        <w:tc>
          <w:tcPr>
            <w:tcW w:w="360" w:type="dxa"/>
          </w:tcPr>
          <w:p w:rsidR="002C55F4" w:rsidRDefault="002C55F4">
            <w:pPr>
              <w:pStyle w:val="TableText"/>
              <w:keepNext/>
              <w:keepLines/>
              <w:widowControl w:val="0"/>
              <w:spacing w:before="40" w:after="40"/>
              <w:ind w:left="144"/>
              <w:rPr>
                <w:rFonts w:ascii="Times New Roman" w:hAnsi="Times New Roman"/>
                <w:sz w:val="18"/>
                <w:szCs w:val="18"/>
              </w:rPr>
            </w:pPr>
          </w:p>
        </w:tc>
        <w:tc>
          <w:tcPr>
            <w:tcW w:w="540" w:type="dxa"/>
          </w:tcPr>
          <w:p w:rsidR="002C55F4" w:rsidRDefault="002C55F4">
            <w:pPr>
              <w:pStyle w:val="TableText"/>
              <w:keepNext/>
              <w:keepLines/>
              <w:tabs>
                <w:tab w:val="num" w:pos="73"/>
              </w:tabs>
              <w:spacing w:before="40" w:after="40"/>
              <w:ind w:left="144"/>
              <w:rPr>
                <w:rFonts w:ascii="Times New Roman" w:hAnsi="Times New Roman"/>
                <w:sz w:val="18"/>
                <w:szCs w:val="18"/>
              </w:rPr>
            </w:pPr>
            <w:r>
              <w:rPr>
                <w:rFonts w:ascii="Times New Roman" w:hAnsi="Times New Roman"/>
                <w:sz w:val="18"/>
                <w:szCs w:val="18"/>
              </w:rPr>
              <w:t>i)</w:t>
            </w:r>
          </w:p>
        </w:tc>
        <w:tc>
          <w:tcPr>
            <w:tcW w:w="8370" w:type="dxa"/>
            <w:gridSpan w:val="4"/>
          </w:tcPr>
          <w:p w:rsidR="002C55F4" w:rsidRDefault="002C55F4">
            <w:pPr>
              <w:pStyle w:val="TableText"/>
              <w:keepNext/>
              <w:keepLines/>
              <w:widowControl w:val="0"/>
              <w:spacing w:before="40" w:after="40"/>
              <w:ind w:left="144"/>
              <w:rPr>
                <w:rFonts w:ascii="Times New Roman" w:hAnsi="Times New Roman"/>
                <w:color w:val="auto"/>
                <w:sz w:val="18"/>
                <w:szCs w:val="18"/>
              </w:rPr>
            </w:pPr>
            <w:r>
              <w:rPr>
                <w:rFonts w:ascii="Times New Roman" w:hAnsi="Times New Roman"/>
                <w:sz w:val="18"/>
                <w:szCs w:val="18"/>
              </w:rPr>
              <w:t>Group 4:  Pre</w:t>
            </w:r>
            <w:r w:rsidR="00C87CA5">
              <w:rPr>
                <w:rFonts w:ascii="Times New Roman" w:hAnsi="Times New Roman"/>
                <w:sz w:val="18"/>
                <w:szCs w:val="18"/>
              </w:rPr>
              <w:t>e</w:t>
            </w:r>
            <w:r>
              <w:rPr>
                <w:rFonts w:ascii="Times New Roman" w:hAnsi="Times New Roman"/>
                <w:sz w:val="18"/>
                <w:szCs w:val="18"/>
              </w:rPr>
              <w:t xml:space="preserve">mption; Request No. </w:t>
            </w:r>
            <w:hyperlink r:id="rId16" w:history="1">
              <w:r>
                <w:rPr>
                  <w:rStyle w:val="Hyperlink"/>
                  <w:rFonts w:ascii="Times New Roman" w:hAnsi="Times New Roman"/>
                  <w:sz w:val="18"/>
                  <w:szCs w:val="18"/>
                </w:rPr>
                <w:t>R05019</w:t>
              </w:r>
            </w:hyperlink>
            <w:r w:rsidR="00C87CA5">
              <w:rPr>
                <w:rStyle w:val="Hyperlink"/>
                <w:rFonts w:ascii="Times New Roman" w:hAnsi="Times New Roman"/>
                <w:sz w:val="18"/>
                <w:szCs w:val="18"/>
              </w:rPr>
              <w:t xml:space="preserve"> (Part of Preemption and Competition)</w:t>
            </w:r>
          </w:p>
        </w:tc>
      </w:tr>
      <w:tr w:rsidR="007621C4">
        <w:tc>
          <w:tcPr>
            <w:tcW w:w="360" w:type="dxa"/>
          </w:tcPr>
          <w:p w:rsidR="007621C4" w:rsidRDefault="007621C4">
            <w:pPr>
              <w:pStyle w:val="TableText"/>
              <w:keepNext/>
              <w:keepLines/>
              <w:spacing w:before="40" w:after="40"/>
              <w:ind w:left="144"/>
              <w:rPr>
                <w:rFonts w:ascii="Times New Roman" w:hAnsi="Times New Roman"/>
                <w:color w:val="auto"/>
                <w:sz w:val="18"/>
                <w:szCs w:val="18"/>
              </w:rPr>
            </w:pPr>
          </w:p>
        </w:tc>
        <w:tc>
          <w:tcPr>
            <w:tcW w:w="360" w:type="dxa"/>
          </w:tcPr>
          <w:p w:rsidR="007621C4" w:rsidRDefault="007621C4">
            <w:pPr>
              <w:pStyle w:val="TableText"/>
              <w:keepNext/>
              <w:keepLines/>
              <w:widowControl w:val="0"/>
              <w:spacing w:before="40" w:after="40"/>
              <w:ind w:left="144"/>
              <w:rPr>
                <w:rFonts w:ascii="Times New Roman" w:hAnsi="Times New Roman"/>
                <w:sz w:val="18"/>
                <w:szCs w:val="18"/>
              </w:rPr>
            </w:pPr>
          </w:p>
        </w:tc>
        <w:tc>
          <w:tcPr>
            <w:tcW w:w="540" w:type="dxa"/>
          </w:tcPr>
          <w:p w:rsidR="007621C4" w:rsidRDefault="007621C4">
            <w:pPr>
              <w:pStyle w:val="TableText"/>
              <w:keepNext/>
              <w:keepLines/>
              <w:tabs>
                <w:tab w:val="num" w:pos="73"/>
              </w:tabs>
              <w:spacing w:before="40" w:after="40"/>
              <w:ind w:left="144"/>
              <w:rPr>
                <w:rFonts w:ascii="Times New Roman" w:hAnsi="Times New Roman"/>
                <w:sz w:val="18"/>
                <w:szCs w:val="18"/>
              </w:rPr>
            </w:pPr>
          </w:p>
        </w:tc>
        <w:tc>
          <w:tcPr>
            <w:tcW w:w="8370" w:type="dxa"/>
            <w:gridSpan w:val="4"/>
          </w:tcPr>
          <w:p w:rsidR="007621C4" w:rsidRDefault="007621C4" w:rsidP="00235A38">
            <w:pPr>
              <w:pStyle w:val="TableText"/>
              <w:keepNext/>
              <w:keepLines/>
              <w:widowControl w:val="0"/>
              <w:numPr>
                <w:ilvl w:val="0"/>
                <w:numId w:val="34"/>
              </w:numPr>
              <w:spacing w:before="40" w:after="40"/>
              <w:rPr>
                <w:rFonts w:ascii="Times New Roman" w:hAnsi="Times New Roman"/>
                <w:sz w:val="18"/>
                <w:szCs w:val="18"/>
              </w:rPr>
            </w:pPr>
            <w:r>
              <w:rPr>
                <w:rFonts w:ascii="Times New Roman" w:hAnsi="Times New Roman"/>
                <w:sz w:val="18"/>
                <w:szCs w:val="18"/>
              </w:rPr>
              <w:t>Short-Term Firm Preemption and Competition</w:t>
            </w:r>
            <w:r w:rsidR="00C9516B">
              <w:rPr>
                <w:rFonts w:ascii="Times New Roman" w:hAnsi="Times New Roman"/>
                <w:sz w:val="18"/>
                <w:szCs w:val="18"/>
              </w:rPr>
              <w:t xml:space="preserve"> (OATT Sections 13.2 and 14.2)</w:t>
            </w:r>
          </w:p>
        </w:tc>
      </w:tr>
      <w:tr w:rsidR="002C55F4">
        <w:trPr>
          <w:cantSplit/>
        </w:trPr>
        <w:tc>
          <w:tcPr>
            <w:tcW w:w="360" w:type="dxa"/>
          </w:tcPr>
          <w:p w:rsidR="002C55F4" w:rsidRDefault="002C55F4">
            <w:pPr>
              <w:pStyle w:val="TableText"/>
              <w:keepNext/>
              <w:keepLines/>
              <w:spacing w:before="40" w:after="40"/>
              <w:ind w:left="144"/>
              <w:rPr>
                <w:rFonts w:ascii="Times New Roman" w:hAnsi="Times New Roman"/>
                <w:color w:val="auto"/>
                <w:sz w:val="18"/>
                <w:szCs w:val="18"/>
              </w:rPr>
            </w:pPr>
          </w:p>
        </w:tc>
        <w:tc>
          <w:tcPr>
            <w:tcW w:w="360" w:type="dxa"/>
          </w:tcPr>
          <w:p w:rsidR="002C55F4" w:rsidRDefault="002C55F4">
            <w:pPr>
              <w:pStyle w:val="TableText"/>
              <w:keepNext/>
              <w:keepLines/>
              <w:widowControl w:val="0"/>
              <w:spacing w:before="40" w:after="40"/>
              <w:ind w:left="144"/>
              <w:rPr>
                <w:rFonts w:ascii="Times New Roman" w:hAnsi="Times New Roman"/>
                <w:sz w:val="18"/>
                <w:szCs w:val="18"/>
              </w:rPr>
            </w:pPr>
          </w:p>
        </w:tc>
        <w:tc>
          <w:tcPr>
            <w:tcW w:w="540" w:type="dxa"/>
          </w:tcPr>
          <w:p w:rsidR="002C55F4" w:rsidRDefault="002C55F4">
            <w:pPr>
              <w:pStyle w:val="TableText"/>
              <w:keepNext/>
              <w:keepLines/>
              <w:tabs>
                <w:tab w:val="num" w:pos="73"/>
              </w:tabs>
              <w:spacing w:before="40" w:after="40"/>
              <w:rPr>
                <w:rFonts w:ascii="Times New Roman" w:hAnsi="Times New Roman"/>
                <w:sz w:val="18"/>
                <w:szCs w:val="18"/>
              </w:rPr>
            </w:pPr>
          </w:p>
        </w:tc>
        <w:tc>
          <w:tcPr>
            <w:tcW w:w="5580" w:type="dxa"/>
            <w:gridSpan w:val="2"/>
          </w:tcPr>
          <w:p w:rsidR="002C55F4" w:rsidRDefault="002C55F4">
            <w:pPr>
              <w:pStyle w:val="TableText"/>
              <w:keepNext/>
              <w:keepLines/>
              <w:tabs>
                <w:tab w:val="num" w:pos="73"/>
                <w:tab w:val="num" w:pos="523"/>
              </w:tabs>
              <w:spacing w:before="40" w:after="40"/>
              <w:ind w:left="523" w:hanging="360"/>
              <w:rPr>
                <w:rFonts w:ascii="Times New Roman" w:hAnsi="Times New Roman"/>
                <w:sz w:val="18"/>
                <w:szCs w:val="18"/>
              </w:rPr>
            </w:pPr>
            <w:r>
              <w:rPr>
                <w:rFonts w:ascii="Times New Roman" w:hAnsi="Times New Roman"/>
                <w:sz w:val="18"/>
                <w:szCs w:val="18"/>
              </w:rPr>
              <w:t>Status: Started</w:t>
            </w:r>
          </w:p>
        </w:tc>
        <w:tc>
          <w:tcPr>
            <w:tcW w:w="1170" w:type="dxa"/>
          </w:tcPr>
          <w:p w:rsidR="002C55F4" w:rsidRDefault="00C87CA5">
            <w:pPr>
              <w:pStyle w:val="TableText"/>
              <w:keepNext/>
              <w:keepLines/>
              <w:widowControl w:val="0"/>
              <w:spacing w:before="40" w:after="40"/>
              <w:ind w:left="144"/>
              <w:jc w:val="center"/>
              <w:rPr>
                <w:rFonts w:ascii="Times New Roman" w:hAnsi="Times New Roman"/>
                <w:sz w:val="18"/>
                <w:szCs w:val="18"/>
              </w:rPr>
            </w:pPr>
            <w:r>
              <w:rPr>
                <w:rFonts w:ascii="Times New Roman" w:hAnsi="Times New Roman"/>
                <w:sz w:val="18"/>
                <w:szCs w:val="18"/>
              </w:rPr>
              <w:t>201</w:t>
            </w:r>
            <w:r w:rsidR="000E110B">
              <w:rPr>
                <w:rFonts w:ascii="Times New Roman" w:hAnsi="Times New Roman"/>
                <w:sz w:val="18"/>
                <w:szCs w:val="18"/>
              </w:rPr>
              <w:t>6</w:t>
            </w:r>
          </w:p>
        </w:tc>
        <w:tc>
          <w:tcPr>
            <w:tcW w:w="1620" w:type="dxa"/>
          </w:tcPr>
          <w:p w:rsidR="002C55F4" w:rsidRDefault="002C55F4">
            <w:pPr>
              <w:pStyle w:val="TableText"/>
              <w:keepNext/>
              <w:keepLines/>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7621C4" w:rsidTr="00BA4B71">
        <w:trPr>
          <w:cantSplit/>
        </w:trPr>
        <w:tc>
          <w:tcPr>
            <w:tcW w:w="360" w:type="dxa"/>
          </w:tcPr>
          <w:p w:rsidR="007621C4" w:rsidRDefault="007621C4">
            <w:pPr>
              <w:pStyle w:val="TableText"/>
              <w:keepNext/>
              <w:keepLines/>
              <w:spacing w:before="40" w:after="40"/>
              <w:ind w:left="144"/>
              <w:rPr>
                <w:rFonts w:ascii="Times New Roman" w:hAnsi="Times New Roman"/>
                <w:color w:val="auto"/>
                <w:sz w:val="18"/>
                <w:szCs w:val="18"/>
              </w:rPr>
            </w:pPr>
          </w:p>
        </w:tc>
        <w:tc>
          <w:tcPr>
            <w:tcW w:w="360" w:type="dxa"/>
          </w:tcPr>
          <w:p w:rsidR="007621C4" w:rsidRDefault="007621C4">
            <w:pPr>
              <w:pStyle w:val="TableText"/>
              <w:keepNext/>
              <w:keepLines/>
              <w:widowControl w:val="0"/>
              <w:spacing w:before="40" w:after="40"/>
              <w:ind w:left="144"/>
              <w:rPr>
                <w:rFonts w:ascii="Times New Roman" w:hAnsi="Times New Roman"/>
                <w:sz w:val="18"/>
                <w:szCs w:val="18"/>
              </w:rPr>
            </w:pPr>
          </w:p>
        </w:tc>
        <w:tc>
          <w:tcPr>
            <w:tcW w:w="540" w:type="dxa"/>
          </w:tcPr>
          <w:p w:rsidR="007621C4" w:rsidRDefault="007621C4">
            <w:pPr>
              <w:pStyle w:val="TableText"/>
              <w:keepNext/>
              <w:keepLines/>
              <w:tabs>
                <w:tab w:val="num" w:pos="73"/>
              </w:tabs>
              <w:spacing w:before="40" w:after="40"/>
              <w:rPr>
                <w:rFonts w:ascii="Times New Roman" w:hAnsi="Times New Roman"/>
                <w:sz w:val="18"/>
                <w:szCs w:val="18"/>
              </w:rPr>
            </w:pPr>
          </w:p>
        </w:tc>
        <w:tc>
          <w:tcPr>
            <w:tcW w:w="8370" w:type="dxa"/>
            <w:gridSpan w:val="4"/>
          </w:tcPr>
          <w:p w:rsidR="007621C4" w:rsidRDefault="007621C4" w:rsidP="00235A38">
            <w:pPr>
              <w:pStyle w:val="TableText"/>
              <w:keepNext/>
              <w:keepLines/>
              <w:widowControl w:val="0"/>
              <w:numPr>
                <w:ilvl w:val="0"/>
                <w:numId w:val="34"/>
              </w:numPr>
              <w:spacing w:before="40" w:after="40"/>
              <w:rPr>
                <w:rFonts w:ascii="Times New Roman" w:hAnsi="Times New Roman"/>
                <w:color w:val="auto"/>
                <w:sz w:val="18"/>
                <w:szCs w:val="18"/>
              </w:rPr>
            </w:pPr>
            <w:r>
              <w:rPr>
                <w:rFonts w:ascii="Times New Roman" w:hAnsi="Times New Roman"/>
                <w:sz w:val="18"/>
                <w:szCs w:val="18"/>
              </w:rPr>
              <w:t>Long-Term Firm Rollover Rights Competition (OATT Section 2.2)</w:t>
            </w:r>
          </w:p>
        </w:tc>
      </w:tr>
      <w:tr w:rsidR="007621C4">
        <w:trPr>
          <w:cantSplit/>
        </w:trPr>
        <w:tc>
          <w:tcPr>
            <w:tcW w:w="360" w:type="dxa"/>
          </w:tcPr>
          <w:p w:rsidR="007621C4" w:rsidRDefault="007621C4">
            <w:pPr>
              <w:pStyle w:val="TableText"/>
              <w:keepNext/>
              <w:keepLines/>
              <w:spacing w:before="40" w:after="40"/>
              <w:ind w:left="144"/>
              <w:rPr>
                <w:rFonts w:ascii="Times New Roman" w:hAnsi="Times New Roman"/>
                <w:color w:val="auto"/>
                <w:sz w:val="18"/>
                <w:szCs w:val="18"/>
              </w:rPr>
            </w:pPr>
          </w:p>
        </w:tc>
        <w:tc>
          <w:tcPr>
            <w:tcW w:w="360" w:type="dxa"/>
          </w:tcPr>
          <w:p w:rsidR="007621C4" w:rsidRDefault="007621C4">
            <w:pPr>
              <w:pStyle w:val="TableText"/>
              <w:keepNext/>
              <w:keepLines/>
              <w:widowControl w:val="0"/>
              <w:spacing w:before="40" w:after="40"/>
              <w:ind w:left="144"/>
              <w:rPr>
                <w:rFonts w:ascii="Times New Roman" w:hAnsi="Times New Roman"/>
                <w:sz w:val="18"/>
                <w:szCs w:val="18"/>
              </w:rPr>
            </w:pPr>
          </w:p>
        </w:tc>
        <w:tc>
          <w:tcPr>
            <w:tcW w:w="540" w:type="dxa"/>
          </w:tcPr>
          <w:p w:rsidR="007621C4" w:rsidRDefault="007621C4">
            <w:pPr>
              <w:pStyle w:val="TableText"/>
              <w:keepNext/>
              <w:keepLines/>
              <w:tabs>
                <w:tab w:val="num" w:pos="73"/>
              </w:tabs>
              <w:spacing w:before="40" w:after="40"/>
              <w:rPr>
                <w:rFonts w:ascii="Times New Roman" w:hAnsi="Times New Roman"/>
                <w:sz w:val="18"/>
                <w:szCs w:val="18"/>
              </w:rPr>
            </w:pPr>
          </w:p>
        </w:tc>
        <w:tc>
          <w:tcPr>
            <w:tcW w:w="5580" w:type="dxa"/>
            <w:gridSpan w:val="2"/>
          </w:tcPr>
          <w:p w:rsidR="007621C4" w:rsidRDefault="007621C4" w:rsidP="005E5198">
            <w:pPr>
              <w:pStyle w:val="TableText"/>
              <w:keepNext/>
              <w:keepLines/>
              <w:tabs>
                <w:tab w:val="num" w:pos="73"/>
                <w:tab w:val="num" w:pos="523"/>
              </w:tabs>
              <w:spacing w:before="40" w:after="40"/>
              <w:ind w:left="523" w:hanging="360"/>
              <w:rPr>
                <w:rFonts w:ascii="Times New Roman" w:hAnsi="Times New Roman"/>
                <w:sz w:val="18"/>
                <w:szCs w:val="18"/>
              </w:rPr>
            </w:pPr>
            <w:r>
              <w:rPr>
                <w:rFonts w:ascii="Times New Roman" w:hAnsi="Times New Roman"/>
                <w:sz w:val="18"/>
                <w:szCs w:val="18"/>
              </w:rPr>
              <w:t xml:space="preserve">Status: </w:t>
            </w:r>
            <w:r w:rsidR="001421C5">
              <w:rPr>
                <w:rFonts w:ascii="Times New Roman" w:hAnsi="Times New Roman"/>
                <w:sz w:val="18"/>
                <w:szCs w:val="18"/>
              </w:rPr>
              <w:t>Complete</w:t>
            </w:r>
          </w:p>
        </w:tc>
        <w:tc>
          <w:tcPr>
            <w:tcW w:w="1170" w:type="dxa"/>
          </w:tcPr>
          <w:p w:rsidR="007621C4" w:rsidRDefault="001421C5" w:rsidP="005E5198">
            <w:pPr>
              <w:pStyle w:val="TableText"/>
              <w:keepNext/>
              <w:keepLines/>
              <w:widowControl w:val="0"/>
              <w:spacing w:before="40" w:after="40"/>
              <w:ind w:left="144"/>
              <w:jc w:val="center"/>
              <w:rPr>
                <w:rFonts w:ascii="Times New Roman" w:hAnsi="Times New Roman"/>
                <w:sz w:val="18"/>
                <w:szCs w:val="18"/>
              </w:rPr>
            </w:pPr>
            <w:r>
              <w:rPr>
                <w:rFonts w:ascii="Times New Roman" w:hAnsi="Times New Roman"/>
                <w:sz w:val="18"/>
                <w:szCs w:val="18"/>
              </w:rPr>
              <w:t>4</w:t>
            </w:r>
            <w:r w:rsidRPr="005E5198">
              <w:rPr>
                <w:rFonts w:ascii="Times New Roman" w:hAnsi="Times New Roman"/>
                <w:sz w:val="18"/>
                <w:szCs w:val="18"/>
                <w:vertAlign w:val="superscript"/>
              </w:rPr>
              <w:t>th</w:t>
            </w:r>
            <w:r>
              <w:rPr>
                <w:rFonts w:ascii="Times New Roman" w:hAnsi="Times New Roman"/>
                <w:sz w:val="18"/>
                <w:szCs w:val="18"/>
              </w:rPr>
              <w:t xml:space="preserve"> </w:t>
            </w:r>
            <w:r w:rsidR="00EB7755">
              <w:rPr>
                <w:rFonts w:ascii="Times New Roman" w:hAnsi="Times New Roman"/>
                <w:sz w:val="18"/>
                <w:szCs w:val="18"/>
              </w:rPr>
              <w:t xml:space="preserve">Q, </w:t>
            </w:r>
            <w:r w:rsidR="007621C4">
              <w:rPr>
                <w:rFonts w:ascii="Times New Roman" w:hAnsi="Times New Roman"/>
                <w:sz w:val="18"/>
                <w:szCs w:val="18"/>
              </w:rPr>
              <w:t>201</w:t>
            </w:r>
            <w:r>
              <w:rPr>
                <w:rFonts w:ascii="Times New Roman" w:hAnsi="Times New Roman"/>
                <w:sz w:val="18"/>
                <w:szCs w:val="18"/>
              </w:rPr>
              <w:t>5</w:t>
            </w:r>
          </w:p>
        </w:tc>
        <w:tc>
          <w:tcPr>
            <w:tcW w:w="1620" w:type="dxa"/>
          </w:tcPr>
          <w:p w:rsidR="007621C4" w:rsidRDefault="007621C4">
            <w:pPr>
              <w:pStyle w:val="TableText"/>
              <w:keepNext/>
              <w:keepLines/>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2C55F4">
        <w:trPr>
          <w:cantSplit/>
        </w:trPr>
        <w:tc>
          <w:tcPr>
            <w:tcW w:w="360" w:type="dxa"/>
          </w:tcPr>
          <w:p w:rsidR="002C55F4" w:rsidRDefault="002C55F4">
            <w:pPr>
              <w:pStyle w:val="TableText"/>
              <w:keepNext/>
              <w:spacing w:before="40" w:after="40"/>
              <w:ind w:left="144"/>
              <w:rPr>
                <w:rFonts w:ascii="Times New Roman" w:hAnsi="Times New Roman"/>
                <w:color w:val="auto"/>
                <w:sz w:val="18"/>
                <w:szCs w:val="18"/>
              </w:rPr>
            </w:pPr>
          </w:p>
        </w:tc>
        <w:tc>
          <w:tcPr>
            <w:tcW w:w="360" w:type="dxa"/>
          </w:tcPr>
          <w:p w:rsidR="002C55F4" w:rsidRDefault="002C55F4">
            <w:pPr>
              <w:pStyle w:val="TableText"/>
              <w:widowControl w:val="0"/>
              <w:spacing w:before="40" w:after="40"/>
              <w:ind w:left="144"/>
              <w:rPr>
                <w:rFonts w:ascii="Times New Roman" w:hAnsi="Times New Roman"/>
                <w:sz w:val="18"/>
                <w:szCs w:val="18"/>
              </w:rPr>
            </w:pPr>
          </w:p>
        </w:tc>
        <w:tc>
          <w:tcPr>
            <w:tcW w:w="540" w:type="dxa"/>
          </w:tcPr>
          <w:p w:rsidR="002C55F4" w:rsidRDefault="002C55F4">
            <w:pPr>
              <w:pStyle w:val="TableText"/>
              <w:tabs>
                <w:tab w:val="num" w:pos="73"/>
              </w:tabs>
              <w:spacing w:before="40" w:after="40"/>
              <w:ind w:left="144"/>
              <w:rPr>
                <w:rFonts w:ascii="Times New Roman" w:hAnsi="Times New Roman"/>
                <w:sz w:val="18"/>
                <w:szCs w:val="18"/>
              </w:rPr>
            </w:pPr>
            <w:r>
              <w:rPr>
                <w:rFonts w:ascii="Times New Roman" w:hAnsi="Times New Roman"/>
                <w:sz w:val="18"/>
                <w:szCs w:val="18"/>
              </w:rPr>
              <w:t>ii)</w:t>
            </w:r>
          </w:p>
        </w:tc>
        <w:tc>
          <w:tcPr>
            <w:tcW w:w="8370" w:type="dxa"/>
            <w:gridSpan w:val="4"/>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sz w:val="18"/>
                <w:szCs w:val="18"/>
              </w:rPr>
              <w:t>Group 6:  Miscellaneous (Paragraph 1627</w:t>
            </w:r>
            <w:r>
              <w:rPr>
                <w:rStyle w:val="FootnoteReference"/>
                <w:rFonts w:ascii="Times New Roman" w:hAnsi="Times New Roman"/>
                <w:sz w:val="18"/>
                <w:szCs w:val="18"/>
              </w:rPr>
              <w:footnoteReference w:id="4"/>
            </w:r>
            <w:r>
              <w:rPr>
                <w:rFonts w:ascii="Times New Roman" w:hAnsi="Times New Roman"/>
                <w:sz w:val="18"/>
                <w:szCs w:val="18"/>
              </w:rPr>
              <w:t xml:space="preserve"> of FERC Order No. 890)</w:t>
            </w:r>
          </w:p>
        </w:tc>
      </w:tr>
      <w:tr w:rsidR="002C55F4">
        <w:trPr>
          <w:cantSplit/>
        </w:trPr>
        <w:tc>
          <w:tcPr>
            <w:tcW w:w="360" w:type="dxa"/>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pStyle w:val="TableText"/>
              <w:widowControl w:val="0"/>
              <w:spacing w:before="40" w:after="40"/>
              <w:ind w:left="144"/>
              <w:rPr>
                <w:rFonts w:ascii="Times New Roman" w:hAnsi="Times New Roman"/>
                <w:sz w:val="18"/>
                <w:szCs w:val="18"/>
              </w:rPr>
            </w:pPr>
          </w:p>
        </w:tc>
        <w:tc>
          <w:tcPr>
            <w:tcW w:w="540" w:type="dxa"/>
          </w:tcPr>
          <w:p w:rsidR="002C55F4" w:rsidRDefault="002C55F4">
            <w:pPr>
              <w:pStyle w:val="TableText"/>
              <w:tabs>
                <w:tab w:val="num" w:pos="73"/>
              </w:tabs>
              <w:spacing w:before="40" w:after="40"/>
              <w:ind w:left="144"/>
              <w:rPr>
                <w:rFonts w:ascii="Times New Roman" w:hAnsi="Times New Roman"/>
                <w:sz w:val="18"/>
                <w:szCs w:val="18"/>
              </w:rPr>
            </w:pPr>
          </w:p>
        </w:tc>
        <w:tc>
          <w:tcPr>
            <w:tcW w:w="5580" w:type="dxa"/>
            <w:gridSpan w:val="2"/>
          </w:tcPr>
          <w:p w:rsidR="002C55F4" w:rsidRDefault="002C55F4">
            <w:pPr>
              <w:pStyle w:val="TableText"/>
              <w:numPr>
                <w:ilvl w:val="0"/>
                <w:numId w:val="25"/>
              </w:numPr>
              <w:tabs>
                <w:tab w:val="clear" w:pos="864"/>
                <w:tab w:val="num" w:pos="523"/>
              </w:tabs>
              <w:spacing w:before="40" w:after="40"/>
              <w:ind w:left="523"/>
              <w:rPr>
                <w:rFonts w:ascii="Times New Roman" w:hAnsi="Times New Roman"/>
                <w:sz w:val="18"/>
                <w:szCs w:val="18"/>
              </w:rPr>
            </w:pPr>
            <w:r>
              <w:rPr>
                <w:rFonts w:ascii="Times New Roman" w:hAnsi="Times New Roman"/>
                <w:sz w:val="18"/>
                <w:szCs w:val="18"/>
              </w:rPr>
              <w:t>Paragraphs 1627 of Order 890 – Posting of additional information on OASIS regarding firm transmission curtailments</w:t>
            </w:r>
          </w:p>
          <w:p w:rsidR="002C55F4" w:rsidRDefault="002C55F4" w:rsidP="00B41CC6">
            <w:pPr>
              <w:pStyle w:val="TableText"/>
              <w:tabs>
                <w:tab w:val="num" w:pos="73"/>
                <w:tab w:val="num" w:pos="523"/>
              </w:tabs>
              <w:spacing w:before="40" w:after="40"/>
              <w:ind w:left="523" w:hanging="360"/>
              <w:rPr>
                <w:rFonts w:ascii="Times New Roman" w:hAnsi="Times New Roman"/>
                <w:sz w:val="18"/>
                <w:szCs w:val="18"/>
              </w:rPr>
            </w:pPr>
            <w:r>
              <w:rPr>
                <w:rFonts w:ascii="Times New Roman" w:hAnsi="Times New Roman"/>
                <w:sz w:val="18"/>
                <w:szCs w:val="18"/>
              </w:rPr>
              <w:t>Status: Started</w:t>
            </w:r>
          </w:p>
        </w:tc>
        <w:tc>
          <w:tcPr>
            <w:tcW w:w="1170" w:type="dxa"/>
          </w:tcPr>
          <w:p w:rsidR="002C55F4" w:rsidRDefault="002C55F4">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 xml:space="preserve">TBD </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r w:rsidR="000E110B">
              <w:rPr>
                <w:rFonts w:ascii="Times New Roman" w:hAnsi="Times New Roman"/>
                <w:color w:val="auto"/>
                <w:sz w:val="18"/>
                <w:szCs w:val="18"/>
              </w:rPr>
              <w:t>/BPS</w:t>
            </w:r>
          </w:p>
        </w:tc>
      </w:tr>
      <w:tr w:rsidR="002C55F4">
        <w:trPr>
          <w:cantSplit/>
        </w:trPr>
        <w:tc>
          <w:tcPr>
            <w:tcW w:w="360" w:type="dxa"/>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pStyle w:val="TableText"/>
              <w:widowControl w:val="0"/>
              <w:spacing w:before="40" w:after="40"/>
              <w:ind w:left="144"/>
              <w:rPr>
                <w:rFonts w:ascii="Times New Roman" w:hAnsi="Times New Roman"/>
                <w:sz w:val="18"/>
                <w:szCs w:val="18"/>
              </w:rPr>
            </w:pPr>
          </w:p>
        </w:tc>
        <w:tc>
          <w:tcPr>
            <w:tcW w:w="540" w:type="dxa"/>
          </w:tcPr>
          <w:p w:rsidR="002C55F4" w:rsidRDefault="002C55F4">
            <w:pPr>
              <w:pStyle w:val="TableText"/>
              <w:tabs>
                <w:tab w:val="num" w:pos="73"/>
              </w:tabs>
              <w:spacing w:before="40" w:after="40"/>
              <w:ind w:left="144"/>
              <w:rPr>
                <w:rFonts w:ascii="Times New Roman" w:hAnsi="Times New Roman"/>
                <w:sz w:val="18"/>
                <w:szCs w:val="18"/>
              </w:rPr>
            </w:pPr>
          </w:p>
        </w:tc>
        <w:tc>
          <w:tcPr>
            <w:tcW w:w="5580" w:type="dxa"/>
            <w:gridSpan w:val="2"/>
          </w:tcPr>
          <w:p w:rsidR="002C55F4" w:rsidRDefault="002C55F4">
            <w:pPr>
              <w:pStyle w:val="TableText"/>
              <w:numPr>
                <w:ilvl w:val="0"/>
                <w:numId w:val="25"/>
              </w:numPr>
              <w:tabs>
                <w:tab w:val="clear" w:pos="864"/>
                <w:tab w:val="num" w:pos="523"/>
              </w:tabs>
              <w:spacing w:before="40" w:after="40"/>
              <w:ind w:left="523"/>
              <w:rPr>
                <w:rFonts w:ascii="Times New Roman" w:hAnsi="Times New Roman"/>
                <w:sz w:val="18"/>
                <w:szCs w:val="18"/>
              </w:rPr>
            </w:pPr>
            <w:proofErr w:type="spellStart"/>
            <w:r>
              <w:rPr>
                <w:rFonts w:ascii="Times New Roman" w:hAnsi="Times New Roman"/>
                <w:sz w:val="18"/>
                <w:szCs w:val="18"/>
              </w:rPr>
              <w:t>Redispatch</w:t>
            </w:r>
            <w:proofErr w:type="spellEnd"/>
            <w:r>
              <w:rPr>
                <w:rFonts w:ascii="Times New Roman" w:hAnsi="Times New Roman"/>
                <w:sz w:val="18"/>
                <w:szCs w:val="18"/>
              </w:rPr>
              <w:t xml:space="preserve"> Cost Posting to allow for posting of third party offers of planning </w:t>
            </w:r>
            <w:proofErr w:type="spellStart"/>
            <w:r>
              <w:rPr>
                <w:rFonts w:ascii="Times New Roman" w:hAnsi="Times New Roman"/>
                <w:sz w:val="18"/>
                <w:szCs w:val="18"/>
              </w:rPr>
              <w:t>redispatch</w:t>
            </w:r>
            <w:proofErr w:type="spellEnd"/>
            <w:r>
              <w:rPr>
                <w:rFonts w:ascii="Times New Roman" w:hAnsi="Times New Roman"/>
                <w:sz w:val="18"/>
                <w:szCs w:val="18"/>
              </w:rPr>
              <w:t xml:space="preserve"> services.</w:t>
            </w:r>
          </w:p>
          <w:p w:rsidR="002C55F4" w:rsidRDefault="002C55F4">
            <w:pPr>
              <w:pStyle w:val="TableText"/>
              <w:tabs>
                <w:tab w:val="num" w:pos="73"/>
                <w:tab w:val="num" w:pos="523"/>
              </w:tabs>
              <w:spacing w:before="40" w:after="40"/>
              <w:ind w:left="523" w:hanging="360"/>
              <w:rPr>
                <w:rFonts w:ascii="Times New Roman" w:hAnsi="Times New Roman"/>
                <w:sz w:val="18"/>
                <w:szCs w:val="18"/>
              </w:rPr>
            </w:pPr>
            <w:r>
              <w:rPr>
                <w:rFonts w:ascii="Times New Roman" w:hAnsi="Times New Roman"/>
                <w:sz w:val="18"/>
                <w:szCs w:val="18"/>
              </w:rPr>
              <w:t>Status: Started</w:t>
            </w:r>
          </w:p>
        </w:tc>
        <w:tc>
          <w:tcPr>
            <w:tcW w:w="1170" w:type="dxa"/>
          </w:tcPr>
          <w:p w:rsidR="002C55F4" w:rsidRDefault="002C55F4">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 xml:space="preserve">TBD </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r w:rsidR="000E110B">
              <w:rPr>
                <w:rFonts w:ascii="Times New Roman" w:hAnsi="Times New Roman"/>
                <w:color w:val="auto"/>
                <w:sz w:val="18"/>
                <w:szCs w:val="18"/>
              </w:rPr>
              <w:t>/BPS</w:t>
            </w:r>
          </w:p>
        </w:tc>
      </w:tr>
      <w:tr w:rsidR="002C55F4">
        <w:trPr>
          <w:cantSplit/>
        </w:trPr>
        <w:tc>
          <w:tcPr>
            <w:tcW w:w="360" w:type="dxa"/>
          </w:tcPr>
          <w:p w:rsidR="002C55F4" w:rsidRDefault="002C55F4">
            <w:pPr>
              <w:pStyle w:val="TableText"/>
              <w:keepNext/>
              <w:spacing w:before="40" w:after="40"/>
              <w:ind w:left="144"/>
              <w:rPr>
                <w:rFonts w:ascii="Times New Roman" w:hAnsi="Times New Roman"/>
                <w:b/>
                <w:color w:val="auto"/>
                <w:sz w:val="18"/>
                <w:szCs w:val="18"/>
              </w:rPr>
            </w:pPr>
            <w:r>
              <w:rPr>
                <w:rFonts w:ascii="Times New Roman" w:hAnsi="Times New Roman"/>
                <w:b/>
                <w:color w:val="auto"/>
                <w:sz w:val="18"/>
                <w:szCs w:val="18"/>
              </w:rPr>
              <w:t>3</w:t>
            </w:r>
            <w:r w:rsidR="00C87CA5">
              <w:rPr>
                <w:rFonts w:ascii="Times New Roman" w:hAnsi="Times New Roman"/>
                <w:b/>
                <w:color w:val="auto"/>
                <w:sz w:val="18"/>
                <w:szCs w:val="18"/>
              </w:rPr>
              <w:t>.</w:t>
            </w:r>
          </w:p>
        </w:tc>
        <w:tc>
          <w:tcPr>
            <w:tcW w:w="9270" w:type="dxa"/>
            <w:gridSpan w:val="6"/>
          </w:tcPr>
          <w:p w:rsidR="002C55F4" w:rsidRDefault="002C55F4">
            <w:pPr>
              <w:pStyle w:val="TableText"/>
              <w:widowControl w:val="0"/>
              <w:spacing w:before="40" w:after="40"/>
              <w:ind w:left="144"/>
              <w:rPr>
                <w:rFonts w:ascii="Times New Roman" w:hAnsi="Times New Roman"/>
                <w:b/>
                <w:color w:val="auto"/>
                <w:sz w:val="18"/>
                <w:szCs w:val="18"/>
              </w:rPr>
            </w:pPr>
            <w:r>
              <w:rPr>
                <w:rFonts w:ascii="Times New Roman" w:hAnsi="Times New Roman"/>
                <w:b/>
                <w:sz w:val="18"/>
                <w:szCs w:val="18"/>
              </w:rPr>
              <w:t>Develop business practices standards to improve the current operation of the wholesale electric market and develop and maintain business practice and communication standards for OASIS and Electronic Scheduling</w:t>
            </w:r>
          </w:p>
        </w:tc>
      </w:tr>
      <w:tr w:rsidR="002C55F4">
        <w:trPr>
          <w:cantSplit/>
        </w:trPr>
        <w:tc>
          <w:tcPr>
            <w:tcW w:w="360" w:type="dxa"/>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spacing w:before="40" w:after="40"/>
              <w:ind w:left="144"/>
              <w:rPr>
                <w:sz w:val="18"/>
                <w:szCs w:val="18"/>
              </w:rPr>
            </w:pPr>
            <w:r>
              <w:rPr>
                <w:sz w:val="18"/>
                <w:szCs w:val="18"/>
              </w:rPr>
              <w:t>a)</w:t>
            </w:r>
          </w:p>
        </w:tc>
        <w:tc>
          <w:tcPr>
            <w:tcW w:w="8910" w:type="dxa"/>
            <w:gridSpan w:val="5"/>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sz w:val="18"/>
                <w:szCs w:val="18"/>
              </w:rPr>
              <w:t>Develop and/or maintain business practice standards as needed for OASIS and electronic scheduling. Specific items to address include:</w:t>
            </w:r>
          </w:p>
        </w:tc>
      </w:tr>
      <w:tr w:rsidR="002C55F4">
        <w:trPr>
          <w:cantSplit/>
        </w:trPr>
        <w:tc>
          <w:tcPr>
            <w:tcW w:w="360" w:type="dxa"/>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spacing w:before="40" w:after="40"/>
              <w:ind w:left="144"/>
              <w:rPr>
                <w:sz w:val="18"/>
                <w:szCs w:val="18"/>
              </w:rPr>
            </w:pPr>
          </w:p>
        </w:tc>
        <w:tc>
          <w:tcPr>
            <w:tcW w:w="540" w:type="dxa"/>
          </w:tcPr>
          <w:p w:rsidR="002C55F4" w:rsidRDefault="002C55F4">
            <w:pPr>
              <w:spacing w:before="40" w:after="40"/>
              <w:ind w:left="144"/>
              <w:rPr>
                <w:sz w:val="18"/>
                <w:szCs w:val="18"/>
              </w:rPr>
            </w:pPr>
            <w:r>
              <w:rPr>
                <w:sz w:val="18"/>
                <w:szCs w:val="18"/>
              </w:rPr>
              <w:t>i)</w:t>
            </w:r>
          </w:p>
        </w:tc>
        <w:tc>
          <w:tcPr>
            <w:tcW w:w="8370" w:type="dxa"/>
            <w:gridSpan w:val="4"/>
          </w:tcPr>
          <w:p w:rsidR="002C55F4" w:rsidRDefault="002C55F4">
            <w:pPr>
              <w:spacing w:before="40" w:after="40"/>
              <w:ind w:left="144"/>
              <w:rPr>
                <w:sz w:val="18"/>
                <w:szCs w:val="18"/>
              </w:rPr>
            </w:pPr>
            <w:r>
              <w:rPr>
                <w:sz w:val="18"/>
                <w:szCs w:val="18"/>
              </w:rPr>
              <w:t>Make remaining incremental enhancements to OASIS as an outgrowth of the NAESB March 29, 2005 conference on the future of OASIS (</w:t>
            </w:r>
            <w:hyperlink r:id="rId17" w:history="1">
              <w:r>
                <w:rPr>
                  <w:rStyle w:val="Hyperlink"/>
                  <w:sz w:val="18"/>
                  <w:szCs w:val="18"/>
                </w:rPr>
                <w:t>R05026</w:t>
              </w:r>
            </w:hyperlink>
            <w:r>
              <w:rPr>
                <w:sz w:val="18"/>
                <w:szCs w:val="18"/>
              </w:rPr>
              <w:t>).</w:t>
            </w:r>
          </w:p>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sz w:val="18"/>
                <w:szCs w:val="18"/>
              </w:rPr>
              <w:t xml:space="preserve">Scoping </w:t>
            </w:r>
            <w:hyperlink r:id="rId18" w:history="1">
              <w:r>
                <w:rPr>
                  <w:rStyle w:val="Hyperlink"/>
                  <w:rFonts w:ascii="Times New Roman" w:hAnsi="Times New Roman"/>
                  <w:sz w:val="18"/>
                  <w:szCs w:val="18"/>
                </w:rPr>
                <w:t>statement</w:t>
              </w:r>
            </w:hyperlink>
            <w:r>
              <w:rPr>
                <w:rFonts w:ascii="Times New Roman" w:hAnsi="Times New Roman"/>
                <w:sz w:val="18"/>
                <w:szCs w:val="18"/>
              </w:rPr>
              <w:t xml:space="preserve"> completed by SRS. </w:t>
            </w:r>
            <w:r w:rsidR="0058462D">
              <w:rPr>
                <w:rFonts w:ascii="Times New Roman" w:hAnsi="Times New Roman"/>
                <w:sz w:val="18"/>
                <w:szCs w:val="18"/>
              </w:rPr>
              <w:t xml:space="preserve"> </w:t>
            </w:r>
            <w:r>
              <w:rPr>
                <w:rFonts w:ascii="Times New Roman" w:hAnsi="Times New Roman"/>
                <w:sz w:val="18"/>
                <w:szCs w:val="18"/>
              </w:rPr>
              <w:t>There were a number of assignments from the Standards Request.  The outstanding items are included below:</w:t>
            </w:r>
          </w:p>
        </w:tc>
      </w:tr>
      <w:tr w:rsidR="002C55F4">
        <w:trPr>
          <w:cantSplit/>
        </w:trPr>
        <w:tc>
          <w:tcPr>
            <w:tcW w:w="360" w:type="dxa"/>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spacing w:before="40" w:after="40"/>
              <w:ind w:left="144"/>
              <w:rPr>
                <w:sz w:val="18"/>
                <w:szCs w:val="18"/>
              </w:rPr>
            </w:pPr>
          </w:p>
        </w:tc>
        <w:tc>
          <w:tcPr>
            <w:tcW w:w="540" w:type="dxa"/>
          </w:tcPr>
          <w:p w:rsidR="002C55F4" w:rsidRDefault="002C55F4">
            <w:pPr>
              <w:spacing w:before="40" w:after="40"/>
              <w:ind w:left="144"/>
              <w:rPr>
                <w:sz w:val="18"/>
                <w:szCs w:val="18"/>
              </w:rPr>
            </w:pPr>
          </w:p>
        </w:tc>
        <w:tc>
          <w:tcPr>
            <w:tcW w:w="540" w:type="dxa"/>
          </w:tcPr>
          <w:p w:rsidR="002C55F4" w:rsidRDefault="002C55F4">
            <w:pPr>
              <w:spacing w:before="40" w:after="40"/>
              <w:ind w:left="144"/>
              <w:rPr>
                <w:sz w:val="18"/>
                <w:szCs w:val="18"/>
              </w:rPr>
            </w:pPr>
            <w:r>
              <w:rPr>
                <w:sz w:val="18"/>
                <w:szCs w:val="18"/>
              </w:rPr>
              <w:t>1)</w:t>
            </w:r>
          </w:p>
        </w:tc>
        <w:tc>
          <w:tcPr>
            <w:tcW w:w="5040" w:type="dxa"/>
          </w:tcPr>
          <w:p w:rsidR="002C55F4" w:rsidRDefault="002C55F4">
            <w:pPr>
              <w:spacing w:before="40" w:after="40"/>
              <w:ind w:left="144"/>
              <w:rPr>
                <w:sz w:val="18"/>
                <w:szCs w:val="18"/>
              </w:rPr>
            </w:pPr>
            <w:r>
              <w:rPr>
                <w:sz w:val="18"/>
                <w:szCs w:val="18"/>
              </w:rPr>
              <w:t>Eliminate Masking of TSR tag source and sink when requested status is denied, withdrawn refused, displaced, invalid, declined, annulled or retracted</w:t>
            </w:r>
          </w:p>
          <w:p w:rsidR="002C55F4" w:rsidRDefault="002C55F4">
            <w:pPr>
              <w:spacing w:before="40" w:after="40"/>
              <w:ind w:left="144"/>
              <w:rPr>
                <w:sz w:val="18"/>
                <w:szCs w:val="18"/>
              </w:rPr>
            </w:pPr>
            <w:r>
              <w:rPr>
                <w:sz w:val="18"/>
                <w:szCs w:val="18"/>
              </w:rPr>
              <w:t xml:space="preserve">Status: </w:t>
            </w:r>
            <w:r w:rsidR="000E110B">
              <w:rPr>
                <w:sz w:val="18"/>
                <w:szCs w:val="18"/>
              </w:rPr>
              <w:t>Completed</w:t>
            </w:r>
          </w:p>
        </w:tc>
        <w:tc>
          <w:tcPr>
            <w:tcW w:w="1170" w:type="dxa"/>
          </w:tcPr>
          <w:p w:rsidR="002C55F4" w:rsidRDefault="000E110B">
            <w:pPr>
              <w:spacing w:before="40" w:after="40"/>
              <w:jc w:val="center"/>
              <w:rPr>
                <w:sz w:val="18"/>
                <w:szCs w:val="18"/>
              </w:rPr>
            </w:pPr>
            <w:r>
              <w:rPr>
                <w:sz w:val="18"/>
                <w:szCs w:val="18"/>
              </w:rPr>
              <w:t>2</w:t>
            </w:r>
            <w:r w:rsidRPr="00A617C9">
              <w:rPr>
                <w:sz w:val="18"/>
                <w:szCs w:val="18"/>
                <w:vertAlign w:val="superscript"/>
              </w:rPr>
              <w:t>nd</w:t>
            </w:r>
            <w:r>
              <w:rPr>
                <w:sz w:val="18"/>
                <w:szCs w:val="18"/>
              </w:rPr>
              <w:t xml:space="preserve"> Q, 2015</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2C55F4">
        <w:trPr>
          <w:cantSplit/>
        </w:trPr>
        <w:tc>
          <w:tcPr>
            <w:tcW w:w="360" w:type="dxa"/>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spacing w:before="40" w:after="40"/>
              <w:ind w:left="144"/>
              <w:rPr>
                <w:sz w:val="18"/>
                <w:szCs w:val="18"/>
              </w:rPr>
            </w:pPr>
          </w:p>
        </w:tc>
        <w:tc>
          <w:tcPr>
            <w:tcW w:w="540" w:type="dxa"/>
          </w:tcPr>
          <w:p w:rsidR="002C55F4" w:rsidRDefault="002C55F4">
            <w:pPr>
              <w:spacing w:before="40" w:after="40"/>
              <w:ind w:left="144"/>
              <w:rPr>
                <w:sz w:val="18"/>
                <w:szCs w:val="18"/>
              </w:rPr>
            </w:pPr>
          </w:p>
        </w:tc>
        <w:tc>
          <w:tcPr>
            <w:tcW w:w="540" w:type="dxa"/>
          </w:tcPr>
          <w:p w:rsidR="002C55F4" w:rsidRDefault="002C55F4">
            <w:pPr>
              <w:spacing w:before="40" w:after="40"/>
              <w:ind w:left="144"/>
              <w:rPr>
                <w:sz w:val="18"/>
                <w:szCs w:val="18"/>
              </w:rPr>
            </w:pPr>
            <w:r>
              <w:rPr>
                <w:sz w:val="18"/>
                <w:szCs w:val="18"/>
              </w:rPr>
              <w:t>2)</w:t>
            </w:r>
          </w:p>
        </w:tc>
        <w:tc>
          <w:tcPr>
            <w:tcW w:w="5040" w:type="dxa"/>
          </w:tcPr>
          <w:p w:rsidR="002C55F4" w:rsidRDefault="002C55F4">
            <w:pPr>
              <w:spacing w:before="40" w:after="40"/>
              <w:ind w:left="144"/>
              <w:rPr>
                <w:sz w:val="18"/>
                <w:szCs w:val="18"/>
              </w:rPr>
            </w:pPr>
            <w:r>
              <w:rPr>
                <w:sz w:val="18"/>
                <w:szCs w:val="18"/>
              </w:rPr>
              <w:t>Initiate standard that eliminates the disparity of posting “sensitive” information.  This standard should also include procedures of user certification that allows access to this class of information.</w:t>
            </w:r>
          </w:p>
          <w:p w:rsidR="002C55F4" w:rsidRDefault="002C55F4">
            <w:pPr>
              <w:spacing w:before="40" w:after="40"/>
              <w:ind w:left="144"/>
              <w:rPr>
                <w:sz w:val="18"/>
                <w:szCs w:val="18"/>
              </w:rPr>
            </w:pPr>
            <w:r>
              <w:rPr>
                <w:sz w:val="18"/>
                <w:szCs w:val="18"/>
              </w:rPr>
              <w:t xml:space="preserve">Status: </w:t>
            </w:r>
            <w:r w:rsidR="000E110B">
              <w:rPr>
                <w:sz w:val="18"/>
                <w:szCs w:val="18"/>
              </w:rPr>
              <w:t>Completed</w:t>
            </w:r>
          </w:p>
        </w:tc>
        <w:tc>
          <w:tcPr>
            <w:tcW w:w="1170" w:type="dxa"/>
          </w:tcPr>
          <w:p w:rsidR="002C55F4" w:rsidRDefault="000E110B">
            <w:pPr>
              <w:spacing w:before="40" w:after="40"/>
              <w:jc w:val="center"/>
              <w:rPr>
                <w:sz w:val="18"/>
                <w:szCs w:val="18"/>
              </w:rPr>
            </w:pPr>
            <w:r>
              <w:rPr>
                <w:sz w:val="18"/>
                <w:szCs w:val="18"/>
              </w:rPr>
              <w:t>2</w:t>
            </w:r>
            <w:r w:rsidRPr="00A617C9">
              <w:rPr>
                <w:sz w:val="18"/>
                <w:szCs w:val="18"/>
                <w:vertAlign w:val="superscript"/>
              </w:rPr>
              <w:t xml:space="preserve">nd </w:t>
            </w:r>
            <w:r>
              <w:rPr>
                <w:sz w:val="18"/>
                <w:szCs w:val="18"/>
              </w:rPr>
              <w:t>Q, 2015</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2C55F4">
        <w:trPr>
          <w:cantSplit/>
        </w:trPr>
        <w:tc>
          <w:tcPr>
            <w:tcW w:w="360" w:type="dxa"/>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spacing w:before="40" w:after="40"/>
              <w:ind w:left="144"/>
              <w:rPr>
                <w:sz w:val="18"/>
                <w:szCs w:val="18"/>
              </w:rPr>
            </w:pPr>
          </w:p>
        </w:tc>
        <w:tc>
          <w:tcPr>
            <w:tcW w:w="540" w:type="dxa"/>
          </w:tcPr>
          <w:p w:rsidR="002C55F4" w:rsidRDefault="002C55F4">
            <w:pPr>
              <w:spacing w:before="40" w:after="40"/>
              <w:ind w:left="144"/>
              <w:rPr>
                <w:sz w:val="18"/>
                <w:szCs w:val="18"/>
              </w:rPr>
            </w:pPr>
          </w:p>
        </w:tc>
        <w:tc>
          <w:tcPr>
            <w:tcW w:w="540" w:type="dxa"/>
          </w:tcPr>
          <w:p w:rsidR="002C55F4" w:rsidRDefault="002C55F4">
            <w:pPr>
              <w:spacing w:before="40" w:after="40"/>
              <w:ind w:left="144"/>
              <w:rPr>
                <w:sz w:val="18"/>
                <w:szCs w:val="18"/>
              </w:rPr>
            </w:pPr>
            <w:r>
              <w:rPr>
                <w:sz w:val="18"/>
                <w:szCs w:val="18"/>
              </w:rPr>
              <w:t>3)</w:t>
            </w:r>
          </w:p>
        </w:tc>
        <w:tc>
          <w:tcPr>
            <w:tcW w:w="5040" w:type="dxa"/>
          </w:tcPr>
          <w:p w:rsidR="002C55F4" w:rsidRDefault="002C55F4">
            <w:pPr>
              <w:spacing w:before="40" w:after="40"/>
              <w:ind w:left="144"/>
              <w:rPr>
                <w:sz w:val="18"/>
                <w:szCs w:val="18"/>
              </w:rPr>
            </w:pPr>
            <w:r>
              <w:rPr>
                <w:sz w:val="18"/>
                <w:szCs w:val="18"/>
              </w:rPr>
              <w:t>Enhance the TSR result postings to allow showing of (i) limiting transmission elements and (ii) available generation dispatch options that would allow acceptance of reservation request.</w:t>
            </w:r>
          </w:p>
          <w:p w:rsidR="002C55F4" w:rsidRDefault="002C55F4">
            <w:pPr>
              <w:spacing w:before="40" w:after="40"/>
              <w:ind w:left="144"/>
              <w:rPr>
                <w:sz w:val="18"/>
                <w:szCs w:val="18"/>
              </w:rPr>
            </w:pPr>
            <w:r>
              <w:rPr>
                <w:sz w:val="18"/>
                <w:szCs w:val="18"/>
              </w:rPr>
              <w:t>Status: Started</w:t>
            </w:r>
          </w:p>
        </w:tc>
        <w:tc>
          <w:tcPr>
            <w:tcW w:w="1170" w:type="dxa"/>
          </w:tcPr>
          <w:p w:rsidR="002C55F4" w:rsidRDefault="007F3637">
            <w:pPr>
              <w:spacing w:before="40" w:after="40"/>
              <w:jc w:val="center"/>
              <w:rPr>
                <w:sz w:val="18"/>
                <w:szCs w:val="18"/>
              </w:rPr>
            </w:pPr>
            <w:r>
              <w:rPr>
                <w:sz w:val="18"/>
                <w:szCs w:val="18"/>
              </w:rPr>
              <w:t>TBD</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r w:rsidR="000E110B">
              <w:rPr>
                <w:rFonts w:ascii="Times New Roman" w:hAnsi="Times New Roman"/>
                <w:color w:val="auto"/>
                <w:sz w:val="18"/>
                <w:szCs w:val="18"/>
              </w:rPr>
              <w:t>/BPS</w:t>
            </w:r>
          </w:p>
        </w:tc>
      </w:tr>
      <w:tr w:rsidR="002C55F4">
        <w:trPr>
          <w:cantSplit/>
        </w:trPr>
        <w:tc>
          <w:tcPr>
            <w:tcW w:w="360" w:type="dxa"/>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C87CA5">
            <w:pPr>
              <w:spacing w:before="40" w:after="40"/>
              <w:ind w:left="144"/>
              <w:rPr>
                <w:sz w:val="18"/>
                <w:szCs w:val="18"/>
              </w:rPr>
            </w:pPr>
            <w:r>
              <w:rPr>
                <w:sz w:val="18"/>
                <w:szCs w:val="18"/>
              </w:rPr>
              <w:t>b</w:t>
            </w:r>
            <w:r w:rsidR="002C55F4">
              <w:rPr>
                <w:sz w:val="18"/>
                <w:szCs w:val="18"/>
              </w:rPr>
              <w:t>)</w:t>
            </w:r>
          </w:p>
        </w:tc>
        <w:tc>
          <w:tcPr>
            <w:tcW w:w="6120" w:type="dxa"/>
            <w:gridSpan w:val="3"/>
          </w:tcPr>
          <w:p w:rsidR="002C55F4" w:rsidRDefault="002C55F4">
            <w:pPr>
              <w:spacing w:before="40" w:after="40"/>
              <w:ind w:left="144"/>
              <w:rPr>
                <w:sz w:val="18"/>
                <w:szCs w:val="18"/>
              </w:rPr>
            </w:pPr>
            <w:r>
              <w:rPr>
                <w:sz w:val="18"/>
                <w:szCs w:val="18"/>
              </w:rPr>
              <w:t>Requirements for OASIS to use data in the Electric Industry Registry (</w:t>
            </w:r>
            <w:hyperlink r:id="rId19" w:history="1">
              <w:r>
                <w:rPr>
                  <w:rStyle w:val="Hyperlink"/>
                  <w:sz w:val="18"/>
                  <w:szCs w:val="18"/>
                </w:rPr>
                <w:t>R12001</w:t>
              </w:r>
            </w:hyperlink>
            <w:r>
              <w:rPr>
                <w:sz w:val="18"/>
                <w:szCs w:val="18"/>
              </w:rPr>
              <w:t>)</w:t>
            </w:r>
          </w:p>
          <w:p w:rsidR="002C55F4" w:rsidRDefault="002C55F4">
            <w:pPr>
              <w:spacing w:before="40" w:after="40"/>
              <w:ind w:left="144"/>
              <w:rPr>
                <w:sz w:val="18"/>
                <w:szCs w:val="18"/>
              </w:rPr>
            </w:pPr>
            <w:r>
              <w:rPr>
                <w:sz w:val="18"/>
                <w:szCs w:val="18"/>
              </w:rPr>
              <w:t>Status: Not Started</w:t>
            </w:r>
          </w:p>
        </w:tc>
        <w:tc>
          <w:tcPr>
            <w:tcW w:w="1170" w:type="dxa"/>
          </w:tcPr>
          <w:p w:rsidR="002C55F4" w:rsidRDefault="002C55F4">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TBD</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2C55F4">
        <w:trPr>
          <w:cantSplit/>
          <w:trHeight w:val="243"/>
        </w:trPr>
        <w:tc>
          <w:tcPr>
            <w:tcW w:w="360" w:type="dxa"/>
          </w:tcPr>
          <w:p w:rsidR="002C55F4" w:rsidRDefault="002C55F4">
            <w:pPr>
              <w:pStyle w:val="TableText"/>
              <w:keepNext/>
              <w:spacing w:before="40" w:after="40"/>
              <w:ind w:left="144"/>
              <w:rPr>
                <w:rFonts w:ascii="Times New Roman" w:hAnsi="Times New Roman"/>
                <w:b/>
                <w:color w:val="auto"/>
                <w:sz w:val="18"/>
                <w:szCs w:val="18"/>
              </w:rPr>
            </w:pPr>
            <w:r>
              <w:rPr>
                <w:rFonts w:ascii="Times New Roman" w:hAnsi="Times New Roman"/>
                <w:b/>
                <w:color w:val="auto"/>
                <w:sz w:val="18"/>
                <w:szCs w:val="18"/>
              </w:rPr>
              <w:t>4.</w:t>
            </w:r>
          </w:p>
        </w:tc>
        <w:tc>
          <w:tcPr>
            <w:tcW w:w="9270" w:type="dxa"/>
            <w:gridSpan w:val="6"/>
          </w:tcPr>
          <w:p w:rsidR="002C55F4" w:rsidRDefault="002C55F4" w:rsidP="00524812">
            <w:pPr>
              <w:pStyle w:val="TableText"/>
              <w:spacing w:before="40" w:after="40"/>
              <w:ind w:left="144"/>
              <w:rPr>
                <w:rFonts w:ascii="Times New Roman" w:hAnsi="Times New Roman"/>
                <w:b/>
                <w:color w:val="auto"/>
                <w:sz w:val="18"/>
                <w:szCs w:val="18"/>
              </w:rPr>
            </w:pPr>
            <w:r>
              <w:rPr>
                <w:rFonts w:ascii="Times New Roman" w:hAnsi="Times New Roman"/>
                <w:b/>
                <w:sz w:val="18"/>
                <w:szCs w:val="18"/>
              </w:rPr>
              <w:t>Develop and/or maintain standard communication protocols and -</w:t>
            </w:r>
            <w:r w:rsidR="00524812">
              <w:rPr>
                <w:rFonts w:ascii="Times New Roman" w:hAnsi="Times New Roman"/>
                <w:b/>
                <w:sz w:val="18"/>
                <w:szCs w:val="18"/>
              </w:rPr>
              <w:t xml:space="preserve"> cyber</w:t>
            </w:r>
            <w:r>
              <w:rPr>
                <w:rFonts w:ascii="Times New Roman" w:hAnsi="Times New Roman"/>
                <w:b/>
                <w:sz w:val="18"/>
                <w:szCs w:val="18"/>
              </w:rPr>
              <w:t>security business practices as needed.</w:t>
            </w:r>
          </w:p>
        </w:tc>
      </w:tr>
      <w:tr w:rsidR="002C55F4">
        <w:trPr>
          <w:cantSplit/>
          <w:trHeight w:val="503"/>
        </w:trPr>
        <w:tc>
          <w:tcPr>
            <w:tcW w:w="360" w:type="dxa"/>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spacing w:before="40" w:after="40"/>
              <w:ind w:left="144"/>
              <w:rPr>
                <w:sz w:val="18"/>
                <w:szCs w:val="18"/>
              </w:rPr>
            </w:pPr>
            <w:r>
              <w:rPr>
                <w:sz w:val="18"/>
                <w:szCs w:val="18"/>
              </w:rPr>
              <w:t>a)</w:t>
            </w:r>
          </w:p>
        </w:tc>
        <w:tc>
          <w:tcPr>
            <w:tcW w:w="6120" w:type="dxa"/>
            <w:gridSpan w:val="3"/>
          </w:tcPr>
          <w:p w:rsidR="002C55F4" w:rsidRDefault="002C55F4">
            <w:pPr>
              <w:spacing w:before="40" w:after="40"/>
              <w:ind w:left="144"/>
              <w:rPr>
                <w:sz w:val="18"/>
                <w:szCs w:val="18"/>
              </w:rPr>
            </w:pPr>
            <w:r>
              <w:rPr>
                <w:sz w:val="18"/>
                <w:szCs w:val="18"/>
              </w:rPr>
              <w:t>Develop modifications for WEQ-012 as needed to reflect current market conditions</w:t>
            </w:r>
          </w:p>
        </w:tc>
        <w:tc>
          <w:tcPr>
            <w:tcW w:w="1170" w:type="dxa"/>
          </w:tcPr>
          <w:p w:rsidR="002C55F4" w:rsidRDefault="002C55F4">
            <w:pPr>
              <w:pStyle w:val="TableText"/>
              <w:widowControl w:val="0"/>
              <w:spacing w:before="40" w:after="40"/>
              <w:ind w:left="144"/>
              <w:rPr>
                <w:rFonts w:ascii="Times New Roman" w:hAnsi="Times New Roman"/>
                <w:color w:val="auto"/>
                <w:sz w:val="18"/>
                <w:szCs w:val="18"/>
              </w:rPr>
            </w:pP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p>
        </w:tc>
      </w:tr>
      <w:tr w:rsidR="002C55F4">
        <w:trPr>
          <w:cantSplit/>
          <w:trHeight w:val="503"/>
        </w:trPr>
        <w:tc>
          <w:tcPr>
            <w:tcW w:w="360" w:type="dxa"/>
          </w:tcPr>
          <w:p w:rsidR="002C55F4" w:rsidRDefault="002C55F4">
            <w:pPr>
              <w:pStyle w:val="TableText"/>
              <w:spacing w:before="40" w:after="40"/>
              <w:ind w:left="144"/>
              <w:rPr>
                <w:rFonts w:ascii="Times New Roman" w:hAnsi="Times New Roman"/>
                <w:color w:val="auto"/>
                <w:sz w:val="18"/>
                <w:szCs w:val="18"/>
                <w:highlight w:val="yellow"/>
              </w:rPr>
            </w:pPr>
          </w:p>
        </w:tc>
        <w:tc>
          <w:tcPr>
            <w:tcW w:w="360" w:type="dxa"/>
          </w:tcPr>
          <w:p w:rsidR="002C55F4" w:rsidRDefault="002C55F4">
            <w:pPr>
              <w:spacing w:before="40" w:after="40"/>
              <w:ind w:left="144"/>
              <w:rPr>
                <w:sz w:val="18"/>
                <w:szCs w:val="18"/>
              </w:rPr>
            </w:pPr>
          </w:p>
        </w:tc>
        <w:tc>
          <w:tcPr>
            <w:tcW w:w="540" w:type="dxa"/>
          </w:tcPr>
          <w:p w:rsidR="002C55F4" w:rsidRDefault="002C55F4">
            <w:pPr>
              <w:spacing w:before="40" w:after="40"/>
              <w:ind w:left="144"/>
              <w:rPr>
                <w:sz w:val="18"/>
                <w:szCs w:val="18"/>
              </w:rPr>
            </w:pPr>
            <w:r>
              <w:rPr>
                <w:sz w:val="18"/>
                <w:szCs w:val="18"/>
              </w:rPr>
              <w:t>i)</w:t>
            </w:r>
          </w:p>
        </w:tc>
        <w:tc>
          <w:tcPr>
            <w:tcW w:w="5580" w:type="dxa"/>
            <w:gridSpan w:val="2"/>
          </w:tcPr>
          <w:p w:rsidR="002C55F4" w:rsidRDefault="002C55F4">
            <w:pPr>
              <w:spacing w:before="40" w:after="40"/>
              <w:ind w:left="144"/>
              <w:rPr>
                <w:sz w:val="18"/>
                <w:szCs w:val="18"/>
              </w:rPr>
            </w:pPr>
            <w:r>
              <w:rPr>
                <w:sz w:val="18"/>
                <w:szCs w:val="18"/>
              </w:rPr>
              <w:t>Review annually at a minimum, the accreditation requirements for Authorized Certification Authorities to determine if any changes are needed to meet market conditions.</w:t>
            </w:r>
            <w:r>
              <w:rPr>
                <w:rStyle w:val="FootnoteReference"/>
                <w:sz w:val="18"/>
                <w:szCs w:val="18"/>
              </w:rPr>
              <w:footnoteReference w:id="5"/>
            </w:r>
          </w:p>
          <w:p w:rsidR="002C55F4" w:rsidRDefault="002C55F4" w:rsidP="00C87CA5">
            <w:pPr>
              <w:spacing w:before="40" w:after="40"/>
              <w:ind w:left="144"/>
              <w:rPr>
                <w:sz w:val="18"/>
                <w:szCs w:val="18"/>
              </w:rPr>
            </w:pPr>
            <w:r>
              <w:rPr>
                <w:sz w:val="18"/>
                <w:szCs w:val="18"/>
              </w:rPr>
              <w:t xml:space="preserve">Status: </w:t>
            </w:r>
            <w:r w:rsidR="00C87CA5">
              <w:rPr>
                <w:sz w:val="18"/>
                <w:szCs w:val="18"/>
              </w:rPr>
              <w:t>Started</w:t>
            </w:r>
          </w:p>
        </w:tc>
        <w:tc>
          <w:tcPr>
            <w:tcW w:w="1170" w:type="dxa"/>
          </w:tcPr>
          <w:p w:rsidR="002C55F4" w:rsidRDefault="00C87CA5">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2015</w:t>
            </w:r>
          </w:p>
        </w:tc>
        <w:tc>
          <w:tcPr>
            <w:tcW w:w="1620" w:type="dxa"/>
          </w:tcPr>
          <w:p w:rsidR="002C55F4" w:rsidRDefault="00AC702E" w:rsidP="00524812">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Cyber</w:t>
            </w:r>
            <w:r w:rsidR="00524812">
              <w:rPr>
                <w:rFonts w:ascii="Times New Roman" w:hAnsi="Times New Roman"/>
                <w:color w:val="auto"/>
                <w:sz w:val="18"/>
                <w:szCs w:val="18"/>
              </w:rPr>
              <w:t>s</w:t>
            </w:r>
            <w:r>
              <w:rPr>
                <w:rFonts w:ascii="Times New Roman" w:hAnsi="Times New Roman"/>
                <w:color w:val="auto"/>
                <w:sz w:val="18"/>
                <w:szCs w:val="18"/>
              </w:rPr>
              <w:t>ecurity Subcommittee</w:t>
            </w:r>
          </w:p>
        </w:tc>
      </w:tr>
      <w:tr w:rsidR="002C55F4">
        <w:trPr>
          <w:cantSplit/>
          <w:trHeight w:val="503"/>
        </w:trPr>
        <w:tc>
          <w:tcPr>
            <w:tcW w:w="360" w:type="dxa"/>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spacing w:before="40" w:after="40"/>
              <w:ind w:left="144"/>
              <w:rPr>
                <w:sz w:val="18"/>
                <w:szCs w:val="18"/>
              </w:rPr>
            </w:pPr>
            <w:r>
              <w:rPr>
                <w:sz w:val="18"/>
                <w:szCs w:val="18"/>
              </w:rPr>
              <w:t>b)</w:t>
            </w:r>
          </w:p>
        </w:tc>
        <w:tc>
          <w:tcPr>
            <w:tcW w:w="6120" w:type="dxa"/>
            <w:gridSpan w:val="3"/>
          </w:tcPr>
          <w:p w:rsidR="002C55F4" w:rsidRDefault="002C55F4">
            <w:pPr>
              <w:spacing w:before="40" w:after="40"/>
              <w:ind w:left="144"/>
              <w:rPr>
                <w:sz w:val="18"/>
                <w:szCs w:val="18"/>
              </w:rPr>
            </w:pPr>
            <w:r>
              <w:rPr>
                <w:sz w:val="18"/>
                <w:szCs w:val="18"/>
              </w:rPr>
              <w:t>Review WEQ standards for impact of XML vulnerability exploits and make modifications as needed to standards and functional specifications</w:t>
            </w:r>
          </w:p>
          <w:p w:rsidR="002C55F4" w:rsidRDefault="002C55F4" w:rsidP="00ED0450">
            <w:pPr>
              <w:spacing w:before="40" w:after="40"/>
              <w:ind w:left="144"/>
              <w:rPr>
                <w:sz w:val="18"/>
                <w:szCs w:val="18"/>
              </w:rPr>
            </w:pPr>
            <w:r>
              <w:rPr>
                <w:sz w:val="18"/>
                <w:szCs w:val="18"/>
              </w:rPr>
              <w:t xml:space="preserve">Status: </w:t>
            </w:r>
            <w:r w:rsidR="00ED0450">
              <w:rPr>
                <w:sz w:val="18"/>
                <w:szCs w:val="18"/>
              </w:rPr>
              <w:t>Completed</w:t>
            </w:r>
          </w:p>
        </w:tc>
        <w:tc>
          <w:tcPr>
            <w:tcW w:w="1170" w:type="dxa"/>
          </w:tcPr>
          <w:p w:rsidR="002C55F4" w:rsidRDefault="00B41CC6" w:rsidP="00354F0B">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2</w:t>
            </w:r>
            <w:r w:rsidRPr="005E5198">
              <w:rPr>
                <w:rFonts w:ascii="Times New Roman" w:hAnsi="Times New Roman"/>
                <w:color w:val="auto"/>
                <w:sz w:val="18"/>
                <w:szCs w:val="18"/>
                <w:vertAlign w:val="superscript"/>
              </w:rPr>
              <w:t>nd</w:t>
            </w:r>
            <w:r>
              <w:rPr>
                <w:rFonts w:ascii="Times New Roman" w:hAnsi="Times New Roman"/>
                <w:color w:val="auto"/>
                <w:sz w:val="18"/>
                <w:szCs w:val="18"/>
              </w:rPr>
              <w:t xml:space="preserve"> Q, 2015 </w:t>
            </w:r>
          </w:p>
        </w:tc>
        <w:tc>
          <w:tcPr>
            <w:tcW w:w="1620" w:type="dxa"/>
          </w:tcPr>
          <w:p w:rsidR="002C55F4" w:rsidRDefault="00AC702E" w:rsidP="00371BE9">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Cyber</w:t>
            </w:r>
            <w:r w:rsidR="00524812">
              <w:rPr>
                <w:rFonts w:ascii="Times New Roman" w:hAnsi="Times New Roman"/>
                <w:color w:val="auto"/>
                <w:sz w:val="18"/>
                <w:szCs w:val="18"/>
              </w:rPr>
              <w:t>s</w:t>
            </w:r>
            <w:r>
              <w:rPr>
                <w:rFonts w:ascii="Times New Roman" w:hAnsi="Times New Roman"/>
                <w:color w:val="auto"/>
                <w:sz w:val="18"/>
                <w:szCs w:val="18"/>
              </w:rPr>
              <w:t>ecurity Subcommittee</w:t>
            </w:r>
            <w:r w:rsidR="002C55F4">
              <w:rPr>
                <w:rFonts w:ascii="Times New Roman" w:hAnsi="Times New Roman"/>
                <w:color w:val="auto"/>
                <w:sz w:val="18"/>
                <w:szCs w:val="18"/>
              </w:rPr>
              <w:t>/</w:t>
            </w:r>
            <w:r w:rsidR="00705D7D">
              <w:rPr>
                <w:rFonts w:ascii="Times New Roman" w:hAnsi="Times New Roman"/>
                <w:color w:val="auto"/>
                <w:sz w:val="18"/>
                <w:szCs w:val="18"/>
              </w:rPr>
              <w:t xml:space="preserve"> </w:t>
            </w:r>
            <w:r w:rsidR="00371BE9">
              <w:rPr>
                <w:rFonts w:ascii="Times New Roman" w:hAnsi="Times New Roman"/>
                <w:color w:val="auto"/>
                <w:sz w:val="18"/>
                <w:szCs w:val="18"/>
              </w:rPr>
              <w:t>CISS</w:t>
            </w:r>
          </w:p>
        </w:tc>
      </w:tr>
      <w:tr w:rsidR="002C55F4">
        <w:trPr>
          <w:cantSplit/>
          <w:trHeight w:val="300"/>
        </w:trPr>
        <w:tc>
          <w:tcPr>
            <w:tcW w:w="360" w:type="dxa"/>
          </w:tcPr>
          <w:p w:rsidR="002C55F4" w:rsidRDefault="002C55F4">
            <w:pPr>
              <w:pStyle w:val="TableText"/>
              <w:keepNext/>
              <w:spacing w:before="40" w:after="40"/>
              <w:ind w:left="144"/>
              <w:rPr>
                <w:rFonts w:ascii="Times New Roman" w:hAnsi="Times New Roman"/>
                <w:b/>
                <w:color w:val="auto"/>
                <w:sz w:val="18"/>
                <w:szCs w:val="18"/>
              </w:rPr>
            </w:pPr>
            <w:r>
              <w:rPr>
                <w:rFonts w:ascii="Times New Roman" w:hAnsi="Times New Roman"/>
                <w:b/>
                <w:color w:val="auto"/>
                <w:sz w:val="18"/>
                <w:szCs w:val="18"/>
              </w:rPr>
              <w:t>5</w:t>
            </w:r>
          </w:p>
        </w:tc>
        <w:tc>
          <w:tcPr>
            <w:tcW w:w="9270" w:type="dxa"/>
            <w:gridSpan w:val="6"/>
          </w:tcPr>
          <w:p w:rsidR="002C55F4" w:rsidRDefault="002C55F4">
            <w:pPr>
              <w:pStyle w:val="TableText"/>
              <w:keepNext/>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Maintain existing body of Version 3.x standards</w:t>
            </w:r>
          </w:p>
        </w:tc>
      </w:tr>
      <w:tr w:rsidR="002C55F4">
        <w:trPr>
          <w:cantSplit/>
          <w:trHeight w:val="503"/>
        </w:trPr>
        <w:tc>
          <w:tcPr>
            <w:tcW w:w="360" w:type="dxa"/>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spacing w:before="40" w:after="40"/>
              <w:ind w:left="144"/>
              <w:rPr>
                <w:sz w:val="18"/>
                <w:szCs w:val="18"/>
              </w:rPr>
            </w:pPr>
            <w:r>
              <w:rPr>
                <w:sz w:val="18"/>
                <w:szCs w:val="18"/>
              </w:rPr>
              <w:t>a)</w:t>
            </w:r>
          </w:p>
        </w:tc>
        <w:tc>
          <w:tcPr>
            <w:tcW w:w="6120" w:type="dxa"/>
            <w:gridSpan w:val="3"/>
          </w:tcPr>
          <w:p w:rsidR="002C55F4" w:rsidRDefault="002C55F4" w:rsidP="00733E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color w:val="000000"/>
                <w:sz w:val="18"/>
                <w:szCs w:val="18"/>
              </w:rPr>
            </w:pPr>
            <w:r>
              <w:rPr>
                <w:sz w:val="18"/>
                <w:szCs w:val="18"/>
              </w:rPr>
              <w:t>Consistent with ¶51 of FERC Order No. 890-A, add AFC and TFC values to the “</w:t>
            </w:r>
            <w:proofErr w:type="spellStart"/>
            <w:r>
              <w:rPr>
                <w:sz w:val="18"/>
                <w:szCs w:val="18"/>
              </w:rPr>
              <w:t>System_Attribute</w:t>
            </w:r>
            <w:proofErr w:type="spellEnd"/>
            <w:r>
              <w:rPr>
                <w:sz w:val="18"/>
                <w:szCs w:val="18"/>
              </w:rPr>
              <w:t>” data element of the NAESB Standard WEQ-003: OASIS S&amp;CP Data Dictionaries. (</w:t>
            </w:r>
            <w:hyperlink r:id="rId20" w:history="1">
              <w:r>
                <w:rPr>
                  <w:rStyle w:val="Hyperlink"/>
                  <w:sz w:val="18"/>
                  <w:szCs w:val="18"/>
                </w:rPr>
                <w:t>R08011</w:t>
              </w:r>
            </w:hyperlink>
            <w:r>
              <w:rPr>
                <w:sz w:val="18"/>
                <w:szCs w:val="18"/>
              </w:rPr>
              <w:t>)</w:t>
            </w:r>
            <w:r>
              <w:rPr>
                <w:sz w:val="18"/>
                <w:szCs w:val="18"/>
              </w:rPr>
              <w:br/>
              <w:t xml:space="preserve">Status: </w:t>
            </w:r>
            <w:r w:rsidR="00733E70">
              <w:rPr>
                <w:sz w:val="18"/>
                <w:szCs w:val="18"/>
              </w:rPr>
              <w:t>Completed</w:t>
            </w:r>
          </w:p>
        </w:tc>
        <w:tc>
          <w:tcPr>
            <w:tcW w:w="1170" w:type="dxa"/>
          </w:tcPr>
          <w:p w:rsidR="002C55F4" w:rsidRDefault="00733E70">
            <w:pPr>
              <w:pStyle w:val="TableText"/>
              <w:widowControl w:val="0"/>
              <w:spacing w:before="40" w:after="40"/>
              <w:ind w:left="144"/>
              <w:jc w:val="center"/>
              <w:rPr>
                <w:rFonts w:ascii="Times New Roman" w:hAnsi="Times New Roman"/>
                <w:color w:val="auto"/>
                <w:sz w:val="18"/>
                <w:szCs w:val="18"/>
              </w:rPr>
            </w:pPr>
            <w:r>
              <w:rPr>
                <w:rFonts w:ascii="Times New Roman" w:hAnsi="Times New Roman"/>
                <w:sz w:val="18"/>
                <w:szCs w:val="18"/>
              </w:rPr>
              <w:t>2</w:t>
            </w:r>
            <w:r w:rsidRPr="00A617C9">
              <w:rPr>
                <w:rFonts w:ascii="Times New Roman" w:hAnsi="Times New Roman"/>
                <w:sz w:val="18"/>
                <w:szCs w:val="18"/>
                <w:vertAlign w:val="superscript"/>
              </w:rPr>
              <w:t>nd</w:t>
            </w:r>
            <w:r>
              <w:rPr>
                <w:rFonts w:ascii="Times New Roman" w:hAnsi="Times New Roman"/>
                <w:sz w:val="18"/>
                <w:szCs w:val="18"/>
              </w:rPr>
              <w:t xml:space="preserve"> Q, </w:t>
            </w:r>
            <w:r w:rsidR="00100670">
              <w:rPr>
                <w:rFonts w:ascii="Times New Roman" w:hAnsi="Times New Roman"/>
                <w:sz w:val="18"/>
                <w:szCs w:val="18"/>
              </w:rPr>
              <w:t>2015</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2C55F4">
        <w:trPr>
          <w:cantSplit/>
          <w:trHeight w:val="503"/>
        </w:trPr>
        <w:tc>
          <w:tcPr>
            <w:tcW w:w="360" w:type="dxa"/>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spacing w:before="40" w:after="40"/>
              <w:ind w:left="144"/>
              <w:rPr>
                <w:sz w:val="18"/>
                <w:szCs w:val="18"/>
              </w:rPr>
            </w:pPr>
            <w:r>
              <w:rPr>
                <w:sz w:val="18"/>
                <w:szCs w:val="18"/>
              </w:rPr>
              <w:t>b)</w:t>
            </w:r>
          </w:p>
        </w:tc>
        <w:tc>
          <w:tcPr>
            <w:tcW w:w="6120" w:type="dxa"/>
            <w:gridSpan w:val="3"/>
          </w:tcPr>
          <w:p w:rsidR="002C55F4" w:rsidRDefault="002C55F4" w:rsidP="00733E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napToGrid w:val="0"/>
                <w:color w:val="000000"/>
                <w:sz w:val="18"/>
                <w:szCs w:val="18"/>
              </w:rPr>
            </w:pPr>
            <w:r>
              <w:rPr>
                <w:color w:val="000000"/>
                <w:sz w:val="18"/>
                <w:szCs w:val="18"/>
              </w:rPr>
              <w:t>Correct WEQ 013-2.6.7.2. – Resale off OASIS (</w:t>
            </w:r>
            <w:hyperlink r:id="rId21" w:tgtFrame="new" w:history="1">
              <w:r>
                <w:rPr>
                  <w:rStyle w:val="Hyperlink"/>
                  <w:color w:val="3366FF"/>
                  <w:sz w:val="18"/>
                  <w:szCs w:val="18"/>
                </w:rPr>
                <w:t>R08027</w:t>
              </w:r>
            </w:hyperlink>
            <w:r>
              <w:rPr>
                <w:color w:val="000000"/>
                <w:sz w:val="18"/>
                <w:szCs w:val="18"/>
              </w:rPr>
              <w:t>)</w:t>
            </w:r>
            <w:r>
              <w:rPr>
                <w:color w:val="000000"/>
                <w:sz w:val="18"/>
                <w:szCs w:val="18"/>
              </w:rPr>
              <w:br/>
            </w:r>
            <w:r>
              <w:rPr>
                <w:sz w:val="18"/>
                <w:szCs w:val="18"/>
              </w:rPr>
              <w:t xml:space="preserve">Status: </w:t>
            </w:r>
            <w:r w:rsidR="00733E70">
              <w:rPr>
                <w:sz w:val="18"/>
                <w:szCs w:val="18"/>
              </w:rPr>
              <w:t>Completed</w:t>
            </w:r>
          </w:p>
        </w:tc>
        <w:tc>
          <w:tcPr>
            <w:tcW w:w="1170" w:type="dxa"/>
          </w:tcPr>
          <w:p w:rsidR="002C55F4" w:rsidRDefault="00733E70" w:rsidP="00733E70">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2</w:t>
            </w:r>
            <w:r w:rsidRPr="00A617C9">
              <w:rPr>
                <w:rFonts w:ascii="Times New Roman" w:hAnsi="Times New Roman"/>
                <w:color w:val="auto"/>
                <w:sz w:val="18"/>
                <w:szCs w:val="18"/>
                <w:vertAlign w:val="superscript"/>
              </w:rPr>
              <w:t>nd</w:t>
            </w:r>
            <w:r>
              <w:rPr>
                <w:rFonts w:ascii="Times New Roman" w:hAnsi="Times New Roman"/>
                <w:color w:val="auto"/>
                <w:sz w:val="18"/>
                <w:szCs w:val="18"/>
              </w:rPr>
              <w:t xml:space="preserve"> Q, 2015</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2C55F4">
        <w:trPr>
          <w:cantSplit/>
          <w:trHeight w:val="503"/>
        </w:trPr>
        <w:tc>
          <w:tcPr>
            <w:tcW w:w="360" w:type="dxa"/>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spacing w:before="40" w:after="40"/>
              <w:ind w:left="144"/>
              <w:rPr>
                <w:sz w:val="18"/>
                <w:szCs w:val="18"/>
              </w:rPr>
            </w:pPr>
            <w:r>
              <w:rPr>
                <w:sz w:val="18"/>
                <w:szCs w:val="18"/>
              </w:rPr>
              <w:t>c)</w:t>
            </w:r>
          </w:p>
        </w:tc>
        <w:tc>
          <w:tcPr>
            <w:tcW w:w="6120" w:type="dxa"/>
            <w:gridSpan w:val="3"/>
          </w:tcPr>
          <w:p w:rsidR="002C55F4" w:rsidRDefault="002C55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napToGrid w:val="0"/>
                <w:color w:val="000000"/>
                <w:sz w:val="18"/>
                <w:szCs w:val="18"/>
              </w:rPr>
            </w:pPr>
            <w:r>
              <w:rPr>
                <w:color w:val="000000"/>
                <w:sz w:val="18"/>
                <w:szCs w:val="18"/>
              </w:rPr>
              <w:t>Add language to WEQ-001-4 Online Negotiation and Confirmation process to clarify Table 4-3</w:t>
            </w:r>
            <w:r>
              <w:rPr>
                <w:snapToGrid w:val="0"/>
                <w:color w:val="000000"/>
                <w:sz w:val="18"/>
                <w:szCs w:val="18"/>
              </w:rPr>
              <w:t xml:space="preserve"> (</w:t>
            </w:r>
            <w:hyperlink r:id="rId22" w:tgtFrame="new" w:history="1">
              <w:r>
                <w:rPr>
                  <w:rStyle w:val="Hyperlink"/>
                  <w:color w:val="3366FF"/>
                  <w:sz w:val="18"/>
                  <w:szCs w:val="18"/>
                </w:rPr>
                <w:t>R09003</w:t>
              </w:r>
            </w:hyperlink>
            <w:r>
              <w:rPr>
                <w:snapToGrid w:val="0"/>
                <w:color w:val="000000"/>
                <w:sz w:val="18"/>
                <w:szCs w:val="18"/>
              </w:rPr>
              <w:t>)</w:t>
            </w:r>
            <w:r>
              <w:rPr>
                <w:snapToGrid w:val="0"/>
                <w:color w:val="000000"/>
                <w:sz w:val="18"/>
                <w:szCs w:val="18"/>
              </w:rPr>
              <w:br/>
            </w:r>
            <w:r>
              <w:rPr>
                <w:sz w:val="18"/>
                <w:szCs w:val="18"/>
              </w:rPr>
              <w:t>Status: Started</w:t>
            </w:r>
          </w:p>
        </w:tc>
        <w:tc>
          <w:tcPr>
            <w:tcW w:w="1170" w:type="dxa"/>
          </w:tcPr>
          <w:p w:rsidR="002C55F4" w:rsidRDefault="007F0ACD" w:rsidP="007F0ACD">
            <w:pPr>
              <w:pStyle w:val="TableText"/>
              <w:widowControl w:val="0"/>
              <w:spacing w:before="40" w:after="40"/>
              <w:ind w:left="144"/>
              <w:jc w:val="center"/>
              <w:rPr>
                <w:rFonts w:ascii="Times New Roman" w:hAnsi="Times New Roman"/>
                <w:color w:val="auto"/>
                <w:sz w:val="18"/>
                <w:szCs w:val="18"/>
              </w:rPr>
            </w:pPr>
            <w:r>
              <w:rPr>
                <w:rFonts w:ascii="Times New Roman" w:hAnsi="Times New Roman"/>
                <w:sz w:val="18"/>
                <w:szCs w:val="18"/>
              </w:rPr>
              <w:t>201</w:t>
            </w:r>
            <w:r w:rsidR="000E110B">
              <w:rPr>
                <w:rFonts w:ascii="Times New Roman" w:hAnsi="Times New Roman"/>
                <w:sz w:val="18"/>
                <w:szCs w:val="18"/>
              </w:rPr>
              <w:t>6</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2C55F4">
        <w:trPr>
          <w:cantSplit/>
          <w:trHeight w:val="503"/>
        </w:trPr>
        <w:tc>
          <w:tcPr>
            <w:tcW w:w="360" w:type="dxa"/>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spacing w:before="40" w:after="40"/>
              <w:ind w:left="144"/>
              <w:rPr>
                <w:sz w:val="18"/>
                <w:szCs w:val="18"/>
              </w:rPr>
            </w:pPr>
            <w:r>
              <w:rPr>
                <w:sz w:val="18"/>
                <w:szCs w:val="18"/>
              </w:rPr>
              <w:t>d)</w:t>
            </w:r>
          </w:p>
        </w:tc>
        <w:tc>
          <w:tcPr>
            <w:tcW w:w="6120" w:type="dxa"/>
            <w:gridSpan w:val="3"/>
          </w:tcPr>
          <w:p w:rsidR="002C55F4" w:rsidRDefault="002C55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color w:val="000000"/>
                <w:sz w:val="18"/>
                <w:szCs w:val="18"/>
              </w:rPr>
            </w:pPr>
            <w:r>
              <w:rPr>
                <w:color w:val="000000"/>
                <w:sz w:val="18"/>
                <w:szCs w:val="18"/>
              </w:rPr>
              <w:t>Create a new OASIS mechanism that allows for the merger of like reservations without the use of the resale mechanism (</w:t>
            </w:r>
            <w:hyperlink r:id="rId23" w:history="1">
              <w:r>
                <w:rPr>
                  <w:rStyle w:val="Hyperlink"/>
                  <w:sz w:val="18"/>
                  <w:szCs w:val="18"/>
                </w:rPr>
                <w:t>R09015</w:t>
              </w:r>
            </w:hyperlink>
            <w:r>
              <w:rPr>
                <w:color w:val="000000"/>
                <w:sz w:val="18"/>
                <w:szCs w:val="18"/>
              </w:rPr>
              <w:t>)</w:t>
            </w:r>
            <w:r>
              <w:rPr>
                <w:color w:val="000000"/>
                <w:sz w:val="18"/>
                <w:szCs w:val="18"/>
              </w:rPr>
              <w:br/>
            </w:r>
            <w:r>
              <w:rPr>
                <w:sz w:val="18"/>
                <w:szCs w:val="18"/>
              </w:rPr>
              <w:t>Status: Started</w:t>
            </w:r>
          </w:p>
        </w:tc>
        <w:tc>
          <w:tcPr>
            <w:tcW w:w="1170" w:type="dxa"/>
          </w:tcPr>
          <w:p w:rsidR="002C55F4" w:rsidRDefault="003341C0">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2016</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2C55F4" w:rsidTr="00702205">
        <w:trPr>
          <w:cantSplit/>
          <w:trHeight w:val="503"/>
        </w:trPr>
        <w:tc>
          <w:tcPr>
            <w:tcW w:w="360" w:type="dxa"/>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spacing w:before="40" w:after="40"/>
              <w:ind w:left="144"/>
              <w:rPr>
                <w:sz w:val="18"/>
                <w:szCs w:val="18"/>
              </w:rPr>
            </w:pPr>
            <w:r>
              <w:rPr>
                <w:sz w:val="18"/>
                <w:szCs w:val="18"/>
              </w:rPr>
              <w:t>e)</w:t>
            </w:r>
          </w:p>
        </w:tc>
        <w:tc>
          <w:tcPr>
            <w:tcW w:w="6120" w:type="dxa"/>
            <w:gridSpan w:val="3"/>
          </w:tcPr>
          <w:p w:rsidR="002C55F4" w:rsidRDefault="002C55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color w:val="000000"/>
                <w:sz w:val="18"/>
                <w:szCs w:val="18"/>
              </w:rPr>
            </w:pPr>
            <w:r>
              <w:rPr>
                <w:color w:val="000000"/>
                <w:sz w:val="18"/>
                <w:szCs w:val="18"/>
              </w:rPr>
              <w:t>Improve transparency to allow customers to determine whether they have been treated in a non-discriminatory manner by posting of additional information on OASIS when service is denied (i.e. refused or declined) by customer(s) using new SAMTS process across multiple transmission systems to serve their NITS load on multiple systems. (</w:t>
            </w:r>
            <w:hyperlink r:id="rId24" w:history="1">
              <w:r>
                <w:rPr>
                  <w:rStyle w:val="Hyperlink"/>
                  <w:sz w:val="18"/>
                  <w:szCs w:val="18"/>
                </w:rPr>
                <w:t>R12006</w:t>
              </w:r>
            </w:hyperlink>
            <w:r>
              <w:rPr>
                <w:color w:val="000000"/>
                <w:sz w:val="18"/>
                <w:szCs w:val="18"/>
              </w:rPr>
              <w:t>)</w:t>
            </w:r>
          </w:p>
          <w:p w:rsidR="002C55F4" w:rsidRDefault="002C55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color w:val="000000"/>
                <w:sz w:val="18"/>
                <w:szCs w:val="18"/>
              </w:rPr>
            </w:pPr>
            <w:r>
              <w:rPr>
                <w:color w:val="000000"/>
                <w:sz w:val="18"/>
                <w:szCs w:val="18"/>
              </w:rPr>
              <w:t>Status: Started</w:t>
            </w:r>
          </w:p>
        </w:tc>
        <w:tc>
          <w:tcPr>
            <w:tcW w:w="1170" w:type="dxa"/>
          </w:tcPr>
          <w:p w:rsidR="002C55F4" w:rsidRDefault="002C55F4">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TBD</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r w:rsidR="000E110B">
              <w:rPr>
                <w:rFonts w:ascii="Times New Roman" w:hAnsi="Times New Roman"/>
                <w:color w:val="auto"/>
                <w:sz w:val="18"/>
                <w:szCs w:val="18"/>
              </w:rPr>
              <w:t>/BPS</w:t>
            </w:r>
          </w:p>
        </w:tc>
      </w:tr>
      <w:tr w:rsidR="00CD5004" w:rsidTr="00702205">
        <w:trPr>
          <w:cantSplit/>
          <w:trHeight w:val="503"/>
        </w:trPr>
        <w:tc>
          <w:tcPr>
            <w:tcW w:w="360" w:type="dxa"/>
          </w:tcPr>
          <w:p w:rsidR="00CD5004" w:rsidRDefault="00CD5004">
            <w:pPr>
              <w:pStyle w:val="TableText"/>
              <w:spacing w:before="40" w:after="40"/>
              <w:ind w:left="144"/>
              <w:rPr>
                <w:rFonts w:ascii="Times New Roman" w:hAnsi="Times New Roman"/>
                <w:color w:val="auto"/>
                <w:sz w:val="18"/>
                <w:szCs w:val="18"/>
              </w:rPr>
            </w:pPr>
          </w:p>
        </w:tc>
        <w:tc>
          <w:tcPr>
            <w:tcW w:w="360" w:type="dxa"/>
          </w:tcPr>
          <w:p w:rsidR="00CD5004" w:rsidRDefault="00CD5004">
            <w:pPr>
              <w:spacing w:before="40" w:after="40"/>
              <w:ind w:left="144"/>
              <w:rPr>
                <w:sz w:val="18"/>
                <w:szCs w:val="18"/>
              </w:rPr>
            </w:pPr>
            <w:r>
              <w:rPr>
                <w:sz w:val="18"/>
                <w:szCs w:val="18"/>
              </w:rPr>
              <w:t>f)</w:t>
            </w:r>
          </w:p>
        </w:tc>
        <w:tc>
          <w:tcPr>
            <w:tcW w:w="6120" w:type="dxa"/>
            <w:gridSpan w:val="3"/>
          </w:tcPr>
          <w:p w:rsidR="00CD5004" w:rsidRDefault="00CD50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color w:val="000000"/>
                <w:sz w:val="18"/>
                <w:szCs w:val="18"/>
              </w:rPr>
            </w:pPr>
            <w:r>
              <w:rPr>
                <w:color w:val="000000"/>
                <w:sz w:val="18"/>
                <w:szCs w:val="18"/>
              </w:rPr>
              <w:t xml:space="preserve">Review </w:t>
            </w:r>
            <w:r w:rsidR="003341C0">
              <w:rPr>
                <w:color w:val="000000"/>
                <w:sz w:val="18"/>
                <w:szCs w:val="18"/>
              </w:rPr>
              <w:t xml:space="preserve">and modify as necessary </w:t>
            </w:r>
            <w:r>
              <w:rPr>
                <w:color w:val="000000"/>
                <w:sz w:val="18"/>
                <w:szCs w:val="18"/>
              </w:rPr>
              <w:t>WEQ-004, EIR Business Practice Standards, e-Tag Specification, and e-Tag Schema to make the necessary modifications to recognize the Market Operator Role within the Electric Industry Registry</w:t>
            </w:r>
          </w:p>
          <w:p w:rsidR="00733E70" w:rsidRDefault="00733E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color w:val="000000"/>
                <w:sz w:val="18"/>
                <w:szCs w:val="18"/>
              </w:rPr>
            </w:pPr>
            <w:r>
              <w:rPr>
                <w:color w:val="000000"/>
                <w:sz w:val="18"/>
                <w:szCs w:val="18"/>
              </w:rPr>
              <w:t>Status: Started</w:t>
            </w:r>
          </w:p>
        </w:tc>
        <w:tc>
          <w:tcPr>
            <w:tcW w:w="1170" w:type="dxa"/>
          </w:tcPr>
          <w:p w:rsidR="00CD5004" w:rsidRDefault="00CD5004">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2015</w:t>
            </w:r>
          </w:p>
        </w:tc>
        <w:tc>
          <w:tcPr>
            <w:tcW w:w="1620" w:type="dxa"/>
          </w:tcPr>
          <w:p w:rsidR="00CD5004" w:rsidRDefault="002F3A78">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CISS</w:t>
            </w:r>
          </w:p>
        </w:tc>
      </w:tr>
      <w:tr w:rsidR="002C55F4" w:rsidTr="00702205">
        <w:trPr>
          <w:cantSplit/>
          <w:trHeight w:val="345"/>
        </w:trPr>
        <w:tc>
          <w:tcPr>
            <w:tcW w:w="360" w:type="dxa"/>
          </w:tcPr>
          <w:p w:rsidR="002C55F4" w:rsidRDefault="002C55F4">
            <w:pPr>
              <w:pStyle w:val="TableText"/>
              <w:keepNext/>
              <w:spacing w:before="40" w:after="40"/>
              <w:ind w:left="144"/>
              <w:rPr>
                <w:rFonts w:ascii="Times New Roman" w:hAnsi="Times New Roman"/>
                <w:color w:val="auto"/>
                <w:sz w:val="18"/>
                <w:szCs w:val="18"/>
              </w:rPr>
            </w:pPr>
            <w:r>
              <w:rPr>
                <w:rFonts w:ascii="Times New Roman" w:hAnsi="Times New Roman"/>
                <w:b/>
                <w:color w:val="auto"/>
                <w:sz w:val="18"/>
                <w:szCs w:val="18"/>
              </w:rPr>
              <w:t>6.</w:t>
            </w:r>
          </w:p>
        </w:tc>
        <w:tc>
          <w:tcPr>
            <w:tcW w:w="9270" w:type="dxa"/>
            <w:gridSpan w:val="6"/>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b/>
                <w:sz w:val="18"/>
                <w:szCs w:val="18"/>
              </w:rPr>
              <w:t xml:space="preserve">Develop or modify standards to Support </w:t>
            </w:r>
            <w:hyperlink r:id="rId25" w:history="1">
              <w:r>
                <w:rPr>
                  <w:rStyle w:val="Hyperlink"/>
                  <w:rFonts w:ascii="Times New Roman" w:hAnsi="Times New Roman"/>
                  <w:b/>
                  <w:sz w:val="18"/>
                  <w:szCs w:val="18"/>
                </w:rPr>
                <w:t>FERC Order No. 676-E</w:t>
              </w:r>
            </w:hyperlink>
            <w:r>
              <w:rPr>
                <w:rFonts w:ascii="Times New Roman" w:hAnsi="Times New Roman"/>
                <w:b/>
                <w:sz w:val="18"/>
                <w:szCs w:val="18"/>
              </w:rPr>
              <w:t>, (Docket No. RM 05-5-013)</w:t>
            </w:r>
          </w:p>
        </w:tc>
      </w:tr>
      <w:tr w:rsidR="002C55F4" w:rsidTr="00702205">
        <w:trPr>
          <w:cantSplit/>
          <w:trHeight w:val="503"/>
        </w:trPr>
        <w:tc>
          <w:tcPr>
            <w:tcW w:w="360" w:type="dxa"/>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spacing w:before="40" w:after="40"/>
              <w:ind w:left="144"/>
              <w:rPr>
                <w:sz w:val="18"/>
                <w:szCs w:val="18"/>
              </w:rPr>
            </w:pPr>
            <w:r>
              <w:rPr>
                <w:sz w:val="18"/>
                <w:szCs w:val="18"/>
              </w:rPr>
              <w:t>a)</w:t>
            </w:r>
          </w:p>
        </w:tc>
        <w:tc>
          <w:tcPr>
            <w:tcW w:w="6120" w:type="dxa"/>
            <w:gridSpan w:val="3"/>
          </w:tcPr>
          <w:p w:rsidR="002C55F4" w:rsidRDefault="002C55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color w:val="000000"/>
                <w:sz w:val="18"/>
                <w:szCs w:val="18"/>
              </w:rPr>
            </w:pPr>
            <w:r>
              <w:rPr>
                <w:sz w:val="18"/>
                <w:szCs w:val="18"/>
              </w:rPr>
              <w:t>Develop standards to support the Transmission Provider right to reassess the availability of conditional firm (See ¶ 72</w:t>
            </w:r>
            <w:r>
              <w:rPr>
                <w:rStyle w:val="FootnoteReference"/>
                <w:sz w:val="18"/>
                <w:szCs w:val="18"/>
              </w:rPr>
              <w:footnoteReference w:id="6"/>
            </w:r>
            <w:r>
              <w:rPr>
                <w:sz w:val="18"/>
                <w:szCs w:val="18"/>
              </w:rPr>
              <w:t>)</w:t>
            </w:r>
            <w:r>
              <w:rPr>
                <w:sz w:val="18"/>
                <w:szCs w:val="18"/>
              </w:rPr>
              <w:br/>
              <w:t xml:space="preserve">Status: </w:t>
            </w:r>
            <w:r w:rsidR="000E110B">
              <w:rPr>
                <w:sz w:val="18"/>
                <w:szCs w:val="18"/>
              </w:rPr>
              <w:t>Completed</w:t>
            </w:r>
          </w:p>
        </w:tc>
        <w:tc>
          <w:tcPr>
            <w:tcW w:w="1170" w:type="dxa"/>
          </w:tcPr>
          <w:p w:rsidR="002C55F4" w:rsidRDefault="000E110B">
            <w:pPr>
              <w:pStyle w:val="TableText"/>
              <w:widowControl w:val="0"/>
              <w:spacing w:before="40" w:after="40"/>
              <w:ind w:left="144"/>
              <w:jc w:val="center"/>
              <w:rPr>
                <w:rFonts w:ascii="Times New Roman" w:hAnsi="Times New Roman"/>
                <w:color w:val="auto"/>
                <w:sz w:val="18"/>
                <w:szCs w:val="18"/>
              </w:rPr>
            </w:pPr>
            <w:r>
              <w:rPr>
                <w:rFonts w:ascii="Times New Roman" w:hAnsi="Times New Roman"/>
                <w:sz w:val="18"/>
                <w:szCs w:val="18"/>
              </w:rPr>
              <w:t>2</w:t>
            </w:r>
            <w:r w:rsidRPr="00A617C9">
              <w:rPr>
                <w:rFonts w:ascii="Times New Roman" w:hAnsi="Times New Roman"/>
                <w:sz w:val="18"/>
                <w:szCs w:val="18"/>
                <w:vertAlign w:val="superscript"/>
              </w:rPr>
              <w:t>nd</w:t>
            </w:r>
            <w:r>
              <w:rPr>
                <w:rFonts w:ascii="Times New Roman" w:hAnsi="Times New Roman"/>
                <w:sz w:val="18"/>
                <w:szCs w:val="18"/>
              </w:rPr>
              <w:t xml:space="preserve"> Q, 2015</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670704" w:rsidTr="00D92408">
        <w:trPr>
          <w:cantSplit/>
        </w:trPr>
        <w:tc>
          <w:tcPr>
            <w:tcW w:w="360" w:type="dxa"/>
          </w:tcPr>
          <w:p w:rsidR="00670704" w:rsidRDefault="00670704" w:rsidP="00D92408">
            <w:pPr>
              <w:pStyle w:val="TableText"/>
              <w:keepNext/>
              <w:spacing w:before="40" w:after="40"/>
              <w:ind w:left="144"/>
              <w:rPr>
                <w:rFonts w:ascii="Times New Roman" w:hAnsi="Times New Roman"/>
                <w:b/>
                <w:color w:val="auto"/>
                <w:sz w:val="18"/>
                <w:szCs w:val="18"/>
              </w:rPr>
            </w:pPr>
            <w:r>
              <w:rPr>
                <w:rFonts w:ascii="Times New Roman" w:hAnsi="Times New Roman"/>
                <w:b/>
                <w:color w:val="auto"/>
                <w:sz w:val="18"/>
                <w:szCs w:val="18"/>
              </w:rPr>
              <w:t>7.</w:t>
            </w:r>
          </w:p>
        </w:tc>
        <w:tc>
          <w:tcPr>
            <w:tcW w:w="9270" w:type="dxa"/>
            <w:gridSpan w:val="6"/>
          </w:tcPr>
          <w:p w:rsidR="00670704" w:rsidRDefault="00670704" w:rsidP="00D92408">
            <w:pPr>
              <w:pStyle w:val="TableText"/>
              <w:widowControl w:val="0"/>
              <w:spacing w:before="40" w:after="40"/>
              <w:ind w:left="144"/>
              <w:rPr>
                <w:rFonts w:ascii="Times New Roman" w:hAnsi="Times New Roman"/>
                <w:b/>
                <w:color w:val="auto"/>
                <w:sz w:val="18"/>
                <w:szCs w:val="18"/>
              </w:rPr>
            </w:pPr>
            <w:r w:rsidRPr="00670704">
              <w:rPr>
                <w:rFonts w:ascii="Times New Roman" w:hAnsi="Times New Roman"/>
                <w:b/>
                <w:sz w:val="18"/>
                <w:szCs w:val="18"/>
              </w:rPr>
              <w:t xml:space="preserve">Develop or modify standards to Support </w:t>
            </w:r>
            <w:hyperlink r:id="rId26" w:history="1">
              <w:r w:rsidR="001017AF">
                <w:rPr>
                  <w:rStyle w:val="Hyperlink"/>
                  <w:rFonts w:ascii="Times New Roman" w:hAnsi="Times New Roman"/>
                  <w:b/>
                  <w:sz w:val="18"/>
                  <w:szCs w:val="18"/>
                </w:rPr>
                <w:t>FERC Order No.</w:t>
              </w:r>
              <w:r w:rsidRPr="001017AF">
                <w:rPr>
                  <w:rStyle w:val="Hyperlink"/>
                  <w:rFonts w:ascii="Times New Roman" w:hAnsi="Times New Roman"/>
                  <w:b/>
                  <w:sz w:val="18"/>
                  <w:szCs w:val="18"/>
                </w:rPr>
                <w:t xml:space="preserve"> 676-H</w:t>
              </w:r>
            </w:hyperlink>
            <w:r w:rsidRPr="00670704">
              <w:rPr>
                <w:rFonts w:ascii="Times New Roman" w:hAnsi="Times New Roman"/>
                <w:b/>
                <w:sz w:val="18"/>
                <w:szCs w:val="18"/>
              </w:rPr>
              <w:t xml:space="preserve"> (Docket No. RM05-5-022)</w:t>
            </w:r>
          </w:p>
        </w:tc>
      </w:tr>
      <w:tr w:rsidR="009675FA" w:rsidTr="00702205">
        <w:trPr>
          <w:cantSplit/>
          <w:trHeight w:val="503"/>
        </w:trPr>
        <w:tc>
          <w:tcPr>
            <w:tcW w:w="360" w:type="dxa"/>
          </w:tcPr>
          <w:p w:rsidR="009675FA" w:rsidRPr="009675FA" w:rsidRDefault="009675FA">
            <w:pPr>
              <w:pStyle w:val="TableText"/>
              <w:spacing w:before="40" w:after="40"/>
              <w:ind w:left="144"/>
              <w:rPr>
                <w:rFonts w:ascii="Times New Roman" w:hAnsi="Times New Roman"/>
                <w:b/>
                <w:color w:val="auto"/>
                <w:sz w:val="18"/>
                <w:szCs w:val="18"/>
              </w:rPr>
            </w:pPr>
          </w:p>
        </w:tc>
        <w:tc>
          <w:tcPr>
            <w:tcW w:w="360" w:type="dxa"/>
          </w:tcPr>
          <w:p w:rsidR="009675FA" w:rsidRDefault="009675FA">
            <w:pPr>
              <w:spacing w:before="40" w:after="40"/>
              <w:ind w:left="144"/>
              <w:rPr>
                <w:sz w:val="18"/>
                <w:szCs w:val="18"/>
              </w:rPr>
            </w:pPr>
            <w:r>
              <w:rPr>
                <w:sz w:val="18"/>
                <w:szCs w:val="18"/>
              </w:rPr>
              <w:t>a)</w:t>
            </w:r>
          </w:p>
        </w:tc>
        <w:tc>
          <w:tcPr>
            <w:tcW w:w="6120" w:type="dxa"/>
            <w:gridSpan w:val="3"/>
          </w:tcPr>
          <w:p w:rsidR="009675FA" w:rsidRPr="008E639E" w:rsidRDefault="009675FA" w:rsidP="00967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r w:rsidRPr="008E639E">
              <w:rPr>
                <w:sz w:val="18"/>
                <w:szCs w:val="18"/>
              </w:rPr>
              <w:t>Consistent with FERC Order Nos. 890 and 676-H, modify NAESB standards WEQ-001-14.1.3 and WEQ-001-15.1.2 to provide for a one-day requirement for posting Available Transfer Capability narratives.</w:t>
            </w:r>
            <w:r w:rsidR="00670704">
              <w:rPr>
                <w:sz w:val="18"/>
                <w:szCs w:val="18"/>
              </w:rPr>
              <w:t xml:space="preserve"> (See </w:t>
            </w:r>
            <w:r w:rsidR="00670704" w:rsidRPr="00670704">
              <w:rPr>
                <w:sz w:val="18"/>
                <w:szCs w:val="18"/>
              </w:rPr>
              <w:t>¶</w:t>
            </w:r>
            <w:r w:rsidR="00275213">
              <w:rPr>
                <w:sz w:val="18"/>
                <w:szCs w:val="18"/>
              </w:rPr>
              <w:t xml:space="preserve"> </w:t>
            </w:r>
            <w:r w:rsidR="001017AF">
              <w:rPr>
                <w:sz w:val="18"/>
                <w:szCs w:val="18"/>
              </w:rPr>
              <w:t>29</w:t>
            </w:r>
            <w:r w:rsidR="00275213">
              <w:rPr>
                <w:sz w:val="18"/>
                <w:szCs w:val="18"/>
              </w:rPr>
              <w:t>).</w:t>
            </w:r>
          </w:p>
          <w:p w:rsidR="009675FA" w:rsidRPr="009675FA" w:rsidRDefault="00967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b/>
                <w:sz w:val="18"/>
                <w:szCs w:val="18"/>
              </w:rPr>
            </w:pPr>
            <w:r w:rsidRPr="008E639E">
              <w:rPr>
                <w:sz w:val="18"/>
                <w:szCs w:val="18"/>
              </w:rPr>
              <w:t xml:space="preserve">Status: </w:t>
            </w:r>
            <w:r w:rsidR="000E110B">
              <w:rPr>
                <w:sz w:val="18"/>
                <w:szCs w:val="18"/>
              </w:rPr>
              <w:t>Completed</w:t>
            </w:r>
          </w:p>
        </w:tc>
        <w:tc>
          <w:tcPr>
            <w:tcW w:w="1170" w:type="dxa"/>
          </w:tcPr>
          <w:p w:rsidR="009675FA" w:rsidRDefault="000E110B">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1</w:t>
            </w:r>
            <w:r w:rsidRPr="00A617C9">
              <w:rPr>
                <w:rFonts w:ascii="Times New Roman" w:hAnsi="Times New Roman"/>
                <w:sz w:val="18"/>
                <w:szCs w:val="18"/>
                <w:vertAlign w:val="superscript"/>
              </w:rPr>
              <w:t>st</w:t>
            </w:r>
            <w:r>
              <w:rPr>
                <w:rFonts w:ascii="Times New Roman" w:hAnsi="Times New Roman"/>
                <w:sz w:val="18"/>
                <w:szCs w:val="18"/>
              </w:rPr>
              <w:t xml:space="preserve"> Q, 2015</w:t>
            </w:r>
          </w:p>
        </w:tc>
        <w:tc>
          <w:tcPr>
            <w:tcW w:w="1620" w:type="dxa"/>
          </w:tcPr>
          <w:p w:rsidR="009675FA" w:rsidRDefault="009675FA">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9675FA" w:rsidTr="00702205">
        <w:trPr>
          <w:cantSplit/>
          <w:trHeight w:val="503"/>
        </w:trPr>
        <w:tc>
          <w:tcPr>
            <w:tcW w:w="360" w:type="dxa"/>
          </w:tcPr>
          <w:p w:rsidR="009675FA" w:rsidRPr="009675FA" w:rsidRDefault="009675FA">
            <w:pPr>
              <w:pStyle w:val="TableText"/>
              <w:spacing w:before="40" w:after="40"/>
              <w:ind w:left="144"/>
              <w:rPr>
                <w:rFonts w:ascii="Times New Roman" w:hAnsi="Times New Roman"/>
                <w:b/>
                <w:color w:val="auto"/>
                <w:sz w:val="18"/>
                <w:szCs w:val="18"/>
              </w:rPr>
            </w:pPr>
          </w:p>
        </w:tc>
        <w:tc>
          <w:tcPr>
            <w:tcW w:w="360" w:type="dxa"/>
          </w:tcPr>
          <w:p w:rsidR="009675FA" w:rsidRDefault="009675FA">
            <w:pPr>
              <w:spacing w:before="40" w:after="40"/>
              <w:ind w:left="144"/>
              <w:rPr>
                <w:sz w:val="18"/>
                <w:szCs w:val="18"/>
              </w:rPr>
            </w:pPr>
            <w:r>
              <w:rPr>
                <w:sz w:val="18"/>
                <w:szCs w:val="18"/>
              </w:rPr>
              <w:t>b)</w:t>
            </w:r>
          </w:p>
        </w:tc>
        <w:tc>
          <w:tcPr>
            <w:tcW w:w="6120" w:type="dxa"/>
            <w:gridSpan w:val="3"/>
          </w:tcPr>
          <w:p w:rsidR="009675FA" w:rsidRDefault="009675FA" w:rsidP="009675FA">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 xml:space="preserve">Modify </w:t>
            </w:r>
            <w:r w:rsidRPr="00AB4530">
              <w:rPr>
                <w:rFonts w:ascii="Times New Roman" w:hAnsi="Times New Roman"/>
                <w:sz w:val="18"/>
                <w:szCs w:val="18"/>
              </w:rPr>
              <w:t xml:space="preserve">NAESB </w:t>
            </w:r>
            <w:r>
              <w:rPr>
                <w:rFonts w:ascii="Times New Roman" w:hAnsi="Times New Roman"/>
                <w:sz w:val="18"/>
                <w:szCs w:val="18"/>
              </w:rPr>
              <w:t xml:space="preserve">standards WEQ-001-9.5, </w:t>
            </w:r>
            <w:r w:rsidRPr="00AB4530">
              <w:rPr>
                <w:rFonts w:ascii="Times New Roman" w:hAnsi="Times New Roman"/>
                <w:sz w:val="18"/>
                <w:szCs w:val="18"/>
              </w:rPr>
              <w:t>WEQ-001</w:t>
            </w:r>
            <w:r>
              <w:rPr>
                <w:rFonts w:ascii="Times New Roman" w:hAnsi="Times New Roman"/>
                <w:sz w:val="18"/>
                <w:szCs w:val="18"/>
              </w:rPr>
              <w:t xml:space="preserve">-10.5, and related standards </w:t>
            </w:r>
            <w:r w:rsidRPr="00AB4530">
              <w:rPr>
                <w:rFonts w:ascii="Times New Roman" w:hAnsi="Times New Roman"/>
                <w:sz w:val="18"/>
                <w:szCs w:val="18"/>
              </w:rPr>
              <w:t xml:space="preserve">to be consistent with the Commission’s policy in </w:t>
            </w:r>
            <w:r w:rsidRPr="00AB4530">
              <w:rPr>
                <w:rFonts w:ascii="Times New Roman" w:hAnsi="Times New Roman"/>
                <w:i/>
                <w:sz w:val="18"/>
                <w:szCs w:val="18"/>
              </w:rPr>
              <w:t>Dynegy Power Marketing, Inc.</w:t>
            </w:r>
            <w:r w:rsidRPr="00AB4530">
              <w:rPr>
                <w:rFonts w:ascii="Times New Roman" w:hAnsi="Times New Roman"/>
                <w:sz w:val="18"/>
                <w:szCs w:val="18"/>
              </w:rPr>
              <w:t xml:space="preserve">, 99 FERC ¶ 61,054 (2002) and </w:t>
            </w:r>
            <w:r w:rsidRPr="00AB4530">
              <w:rPr>
                <w:rFonts w:ascii="Times New Roman" w:hAnsi="Times New Roman"/>
                <w:i/>
                <w:sz w:val="18"/>
                <w:szCs w:val="18"/>
              </w:rPr>
              <w:t>Entergy Services, Inc.</w:t>
            </w:r>
            <w:r w:rsidRPr="00AB4530">
              <w:rPr>
                <w:rFonts w:ascii="Times New Roman" w:hAnsi="Times New Roman"/>
                <w:sz w:val="18"/>
                <w:szCs w:val="18"/>
              </w:rPr>
              <w:t xml:space="preserve">, 137 FERC ¶ 61,199 (2011), </w:t>
            </w:r>
            <w:r w:rsidRPr="00AB4530">
              <w:rPr>
                <w:rFonts w:ascii="Times New Roman" w:hAnsi="Times New Roman"/>
                <w:i/>
                <w:sz w:val="18"/>
                <w:szCs w:val="18"/>
              </w:rPr>
              <w:t xml:space="preserve">order on </w:t>
            </w:r>
            <w:proofErr w:type="spellStart"/>
            <w:r w:rsidRPr="00AB4530">
              <w:rPr>
                <w:rFonts w:ascii="Times New Roman" w:hAnsi="Times New Roman"/>
                <w:i/>
                <w:sz w:val="18"/>
                <w:szCs w:val="18"/>
              </w:rPr>
              <w:t>reh’g</w:t>
            </w:r>
            <w:proofErr w:type="spellEnd"/>
            <w:r w:rsidRPr="00AB4530">
              <w:rPr>
                <w:rFonts w:ascii="Times New Roman" w:hAnsi="Times New Roman"/>
                <w:i/>
                <w:sz w:val="18"/>
                <w:szCs w:val="18"/>
              </w:rPr>
              <w:t xml:space="preserve"> and compliance</w:t>
            </w:r>
            <w:r w:rsidRPr="00AB4530">
              <w:rPr>
                <w:rFonts w:ascii="Times New Roman" w:hAnsi="Times New Roman"/>
                <w:sz w:val="18"/>
                <w:szCs w:val="18"/>
              </w:rPr>
              <w:t>, 143 FERC ¶ 61,143 (2013)</w:t>
            </w:r>
            <w:r w:rsidR="00E248C0">
              <w:rPr>
                <w:rFonts w:ascii="Times New Roman" w:hAnsi="Times New Roman"/>
                <w:sz w:val="18"/>
                <w:szCs w:val="18"/>
              </w:rPr>
              <w:t xml:space="preserve">, </w:t>
            </w:r>
            <w:r w:rsidR="00E248C0" w:rsidRPr="00E248C0">
              <w:rPr>
                <w:rFonts w:ascii="Times New Roman" w:hAnsi="Times New Roman"/>
                <w:sz w:val="18"/>
                <w:szCs w:val="18"/>
              </w:rPr>
              <w:t>148 FERC ¶ 61,209 (2014)</w:t>
            </w:r>
            <w:r>
              <w:rPr>
                <w:rFonts w:ascii="Times New Roman" w:hAnsi="Times New Roman"/>
                <w:sz w:val="18"/>
                <w:szCs w:val="18"/>
              </w:rPr>
              <w:t>.</w:t>
            </w:r>
            <w:r w:rsidR="00275213">
              <w:rPr>
                <w:rFonts w:ascii="Times New Roman" w:hAnsi="Times New Roman"/>
                <w:sz w:val="18"/>
                <w:szCs w:val="18"/>
              </w:rPr>
              <w:t xml:space="preserve"> </w:t>
            </w:r>
            <w:r w:rsidR="00275213" w:rsidRPr="00275213">
              <w:rPr>
                <w:rFonts w:ascii="Times New Roman" w:hAnsi="Times New Roman"/>
                <w:sz w:val="18"/>
                <w:szCs w:val="18"/>
              </w:rPr>
              <w:t>(See ¶</w:t>
            </w:r>
            <w:r w:rsidR="00275213">
              <w:rPr>
                <w:rFonts w:ascii="Times New Roman" w:hAnsi="Times New Roman"/>
                <w:sz w:val="18"/>
                <w:szCs w:val="18"/>
              </w:rPr>
              <w:t xml:space="preserve"> 49</w:t>
            </w:r>
            <w:r w:rsidR="00275213" w:rsidRPr="00275213">
              <w:rPr>
                <w:rFonts w:ascii="Times New Roman" w:hAnsi="Times New Roman"/>
                <w:sz w:val="18"/>
                <w:szCs w:val="18"/>
              </w:rPr>
              <w:t>).</w:t>
            </w:r>
          </w:p>
          <w:p w:rsidR="009675FA" w:rsidRPr="009675FA" w:rsidRDefault="00967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b/>
                <w:sz w:val="18"/>
                <w:szCs w:val="18"/>
              </w:rPr>
            </w:pPr>
            <w:r w:rsidRPr="00705D7D">
              <w:rPr>
                <w:sz w:val="18"/>
                <w:szCs w:val="18"/>
              </w:rPr>
              <w:t xml:space="preserve">Status: </w:t>
            </w:r>
            <w:r w:rsidR="000E110B">
              <w:rPr>
                <w:sz w:val="18"/>
                <w:szCs w:val="18"/>
              </w:rPr>
              <w:t>Completed</w:t>
            </w:r>
          </w:p>
        </w:tc>
        <w:tc>
          <w:tcPr>
            <w:tcW w:w="1170" w:type="dxa"/>
          </w:tcPr>
          <w:p w:rsidR="009675FA" w:rsidRDefault="000E110B">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1</w:t>
            </w:r>
            <w:r w:rsidRPr="00A617C9">
              <w:rPr>
                <w:rFonts w:ascii="Times New Roman" w:hAnsi="Times New Roman"/>
                <w:sz w:val="18"/>
                <w:szCs w:val="18"/>
                <w:vertAlign w:val="superscript"/>
              </w:rPr>
              <w:t xml:space="preserve">st </w:t>
            </w:r>
            <w:r w:rsidR="00E134E2">
              <w:rPr>
                <w:rFonts w:ascii="Times New Roman" w:hAnsi="Times New Roman"/>
                <w:sz w:val="18"/>
                <w:szCs w:val="18"/>
              </w:rPr>
              <w:t>Q, 2015</w:t>
            </w:r>
          </w:p>
        </w:tc>
        <w:tc>
          <w:tcPr>
            <w:tcW w:w="1620" w:type="dxa"/>
          </w:tcPr>
          <w:p w:rsidR="009675FA" w:rsidRDefault="009675FA">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9675FA" w:rsidTr="00702205">
        <w:trPr>
          <w:cantSplit/>
          <w:trHeight w:val="503"/>
        </w:trPr>
        <w:tc>
          <w:tcPr>
            <w:tcW w:w="360" w:type="dxa"/>
          </w:tcPr>
          <w:p w:rsidR="009675FA" w:rsidRPr="009675FA" w:rsidRDefault="009675FA">
            <w:pPr>
              <w:pStyle w:val="TableText"/>
              <w:spacing w:before="40" w:after="40"/>
              <w:ind w:left="144"/>
              <w:rPr>
                <w:rFonts w:ascii="Times New Roman" w:hAnsi="Times New Roman"/>
                <w:b/>
                <w:color w:val="auto"/>
                <w:sz w:val="18"/>
                <w:szCs w:val="18"/>
              </w:rPr>
            </w:pPr>
          </w:p>
        </w:tc>
        <w:tc>
          <w:tcPr>
            <w:tcW w:w="360" w:type="dxa"/>
          </w:tcPr>
          <w:p w:rsidR="009675FA" w:rsidRDefault="009675FA">
            <w:pPr>
              <w:spacing w:before="40" w:after="40"/>
              <w:ind w:left="144"/>
              <w:rPr>
                <w:sz w:val="18"/>
                <w:szCs w:val="18"/>
              </w:rPr>
            </w:pPr>
            <w:r>
              <w:rPr>
                <w:sz w:val="18"/>
                <w:szCs w:val="18"/>
              </w:rPr>
              <w:t>c)</w:t>
            </w:r>
          </w:p>
        </w:tc>
        <w:tc>
          <w:tcPr>
            <w:tcW w:w="6120" w:type="dxa"/>
            <w:gridSpan w:val="3"/>
          </w:tcPr>
          <w:p w:rsidR="009675FA" w:rsidRPr="006F4CE9" w:rsidRDefault="009675FA" w:rsidP="00292F49">
            <w:pPr>
              <w:pStyle w:val="TableText"/>
              <w:tabs>
                <w:tab w:val="num" w:pos="433"/>
              </w:tabs>
              <w:spacing w:before="40" w:after="40"/>
              <w:ind w:left="144"/>
              <w:rPr>
                <w:sz w:val="18"/>
                <w:szCs w:val="18"/>
              </w:rPr>
            </w:pPr>
            <w:r w:rsidRPr="00292F49">
              <w:rPr>
                <w:rFonts w:ascii="Times New Roman" w:hAnsi="Times New Roman"/>
                <w:sz w:val="18"/>
                <w:szCs w:val="18"/>
              </w:rPr>
              <w:t>Revise NAESB standard WEQ-001-106.2.5 to clarify when Transmission Providers may refuse a request for terminating secondary network service based on the availability of capacity.</w:t>
            </w:r>
            <w:r w:rsidR="00275213">
              <w:rPr>
                <w:rFonts w:ascii="Times New Roman" w:hAnsi="Times New Roman"/>
                <w:sz w:val="18"/>
                <w:szCs w:val="18"/>
              </w:rPr>
              <w:t xml:space="preserve"> </w:t>
            </w:r>
            <w:r w:rsidR="00275213" w:rsidRPr="00275213">
              <w:rPr>
                <w:rFonts w:ascii="Times New Roman" w:hAnsi="Times New Roman"/>
                <w:sz w:val="18"/>
                <w:szCs w:val="18"/>
              </w:rPr>
              <w:t>(See ¶</w:t>
            </w:r>
            <w:r w:rsidR="00275213">
              <w:rPr>
                <w:rFonts w:ascii="Times New Roman" w:hAnsi="Times New Roman"/>
                <w:sz w:val="18"/>
                <w:szCs w:val="18"/>
              </w:rPr>
              <w:t xml:space="preserve"> 59</w:t>
            </w:r>
            <w:r w:rsidR="00275213" w:rsidRPr="00275213">
              <w:rPr>
                <w:rFonts w:ascii="Times New Roman" w:hAnsi="Times New Roman"/>
                <w:sz w:val="18"/>
                <w:szCs w:val="18"/>
              </w:rPr>
              <w:t>).</w:t>
            </w:r>
          </w:p>
          <w:p w:rsidR="009675FA" w:rsidRPr="009675FA" w:rsidRDefault="009675FA">
            <w:pPr>
              <w:pStyle w:val="TableText"/>
              <w:tabs>
                <w:tab w:val="num" w:pos="433"/>
              </w:tabs>
              <w:spacing w:before="40" w:after="40"/>
              <w:ind w:left="144"/>
              <w:rPr>
                <w:b/>
                <w:sz w:val="18"/>
                <w:szCs w:val="18"/>
              </w:rPr>
            </w:pPr>
            <w:r w:rsidRPr="00292F49">
              <w:rPr>
                <w:rFonts w:ascii="Times New Roman" w:hAnsi="Times New Roman"/>
                <w:sz w:val="18"/>
                <w:szCs w:val="18"/>
              </w:rPr>
              <w:t xml:space="preserve">Status: </w:t>
            </w:r>
            <w:r w:rsidR="000E110B">
              <w:rPr>
                <w:rFonts w:ascii="Times New Roman" w:hAnsi="Times New Roman"/>
                <w:sz w:val="18"/>
                <w:szCs w:val="18"/>
              </w:rPr>
              <w:t>Completed</w:t>
            </w:r>
          </w:p>
        </w:tc>
        <w:tc>
          <w:tcPr>
            <w:tcW w:w="1170" w:type="dxa"/>
          </w:tcPr>
          <w:p w:rsidR="009675FA" w:rsidRDefault="000E110B">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1</w:t>
            </w:r>
            <w:r w:rsidRPr="00A617C9">
              <w:rPr>
                <w:rFonts w:ascii="Times New Roman" w:hAnsi="Times New Roman"/>
                <w:sz w:val="18"/>
                <w:szCs w:val="18"/>
                <w:vertAlign w:val="superscript"/>
              </w:rPr>
              <w:t>st</w:t>
            </w:r>
            <w:r>
              <w:rPr>
                <w:rFonts w:ascii="Times New Roman" w:hAnsi="Times New Roman"/>
                <w:sz w:val="18"/>
                <w:szCs w:val="18"/>
              </w:rPr>
              <w:t xml:space="preserve"> Q, 2015</w:t>
            </w:r>
          </w:p>
        </w:tc>
        <w:tc>
          <w:tcPr>
            <w:tcW w:w="1620" w:type="dxa"/>
          </w:tcPr>
          <w:p w:rsidR="009675FA" w:rsidRDefault="009675FA">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9675FA" w:rsidTr="00702205">
        <w:trPr>
          <w:cantSplit/>
          <w:trHeight w:val="503"/>
        </w:trPr>
        <w:tc>
          <w:tcPr>
            <w:tcW w:w="360" w:type="dxa"/>
          </w:tcPr>
          <w:p w:rsidR="009675FA" w:rsidRPr="009675FA" w:rsidRDefault="009675FA">
            <w:pPr>
              <w:pStyle w:val="TableText"/>
              <w:spacing w:before="40" w:after="40"/>
              <w:ind w:left="144"/>
              <w:rPr>
                <w:rFonts w:ascii="Times New Roman" w:hAnsi="Times New Roman"/>
                <w:b/>
                <w:color w:val="auto"/>
                <w:sz w:val="18"/>
                <w:szCs w:val="18"/>
              </w:rPr>
            </w:pPr>
          </w:p>
        </w:tc>
        <w:tc>
          <w:tcPr>
            <w:tcW w:w="360" w:type="dxa"/>
          </w:tcPr>
          <w:p w:rsidR="009675FA" w:rsidRDefault="009675FA">
            <w:pPr>
              <w:spacing w:before="40" w:after="40"/>
              <w:ind w:left="144"/>
              <w:rPr>
                <w:sz w:val="18"/>
                <w:szCs w:val="18"/>
              </w:rPr>
            </w:pPr>
            <w:r>
              <w:rPr>
                <w:sz w:val="18"/>
                <w:szCs w:val="18"/>
              </w:rPr>
              <w:t>d)</w:t>
            </w:r>
          </w:p>
        </w:tc>
        <w:tc>
          <w:tcPr>
            <w:tcW w:w="6120" w:type="dxa"/>
            <w:gridSpan w:val="3"/>
          </w:tcPr>
          <w:p w:rsidR="009675FA" w:rsidRDefault="009675FA" w:rsidP="00292F49">
            <w:pPr>
              <w:pStyle w:val="TableText"/>
              <w:tabs>
                <w:tab w:val="num" w:pos="433"/>
              </w:tabs>
              <w:spacing w:before="40" w:after="40"/>
              <w:ind w:left="144"/>
              <w:rPr>
                <w:sz w:val="18"/>
                <w:szCs w:val="18"/>
              </w:rPr>
            </w:pPr>
            <w:r w:rsidRPr="00292F49">
              <w:rPr>
                <w:rFonts w:ascii="Times New Roman" w:hAnsi="Times New Roman"/>
                <w:sz w:val="18"/>
                <w:szCs w:val="18"/>
              </w:rPr>
              <w:t>Consider Bonneville Power Administration comment concerning the treatment of a conditional point-to-point reservation included in a coordinated group when displaced through preemption.</w:t>
            </w:r>
            <w:r w:rsidR="00275213">
              <w:rPr>
                <w:rFonts w:ascii="Times New Roman" w:hAnsi="Times New Roman"/>
                <w:sz w:val="18"/>
                <w:szCs w:val="18"/>
              </w:rPr>
              <w:t xml:space="preserve"> (See </w:t>
            </w:r>
            <w:r w:rsidR="00275213" w:rsidRPr="00275213">
              <w:rPr>
                <w:rFonts w:ascii="Times New Roman" w:hAnsi="Times New Roman"/>
                <w:sz w:val="18"/>
                <w:szCs w:val="18"/>
              </w:rPr>
              <w:t xml:space="preserve">¶ </w:t>
            </w:r>
            <w:r w:rsidR="00275213">
              <w:rPr>
                <w:rFonts w:ascii="Times New Roman" w:hAnsi="Times New Roman"/>
                <w:sz w:val="18"/>
                <w:szCs w:val="18"/>
              </w:rPr>
              <w:t>65</w:t>
            </w:r>
            <w:r w:rsidR="00275213" w:rsidRPr="00275213">
              <w:rPr>
                <w:rFonts w:ascii="Times New Roman" w:hAnsi="Times New Roman"/>
                <w:sz w:val="18"/>
                <w:szCs w:val="18"/>
              </w:rPr>
              <w:t>).</w:t>
            </w:r>
          </w:p>
          <w:p w:rsidR="0004402A" w:rsidRDefault="007621C4" w:rsidP="00292F49">
            <w:pPr>
              <w:pStyle w:val="TableText"/>
              <w:tabs>
                <w:tab w:val="num" w:pos="433"/>
              </w:tabs>
              <w:spacing w:before="40" w:after="40"/>
              <w:ind w:left="144"/>
              <w:rPr>
                <w:sz w:val="18"/>
                <w:szCs w:val="18"/>
              </w:rPr>
            </w:pPr>
            <w:r>
              <w:rPr>
                <w:rFonts w:ascii="Times New Roman" w:hAnsi="Times New Roman"/>
                <w:sz w:val="18"/>
                <w:szCs w:val="18"/>
              </w:rPr>
              <w:t xml:space="preserve">Status: </w:t>
            </w:r>
            <w:r w:rsidR="000E110B">
              <w:rPr>
                <w:rFonts w:ascii="Times New Roman" w:hAnsi="Times New Roman"/>
                <w:sz w:val="18"/>
                <w:szCs w:val="18"/>
              </w:rPr>
              <w:t>Completed</w:t>
            </w:r>
          </w:p>
        </w:tc>
        <w:tc>
          <w:tcPr>
            <w:tcW w:w="1170" w:type="dxa"/>
          </w:tcPr>
          <w:p w:rsidR="009675FA" w:rsidRDefault="000E110B">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1</w:t>
            </w:r>
            <w:r w:rsidRPr="00A617C9">
              <w:rPr>
                <w:rFonts w:ascii="Times New Roman" w:hAnsi="Times New Roman"/>
                <w:sz w:val="18"/>
                <w:szCs w:val="18"/>
                <w:vertAlign w:val="superscript"/>
              </w:rPr>
              <w:t>st</w:t>
            </w:r>
            <w:r>
              <w:rPr>
                <w:rFonts w:ascii="Times New Roman" w:hAnsi="Times New Roman"/>
                <w:sz w:val="18"/>
                <w:szCs w:val="18"/>
              </w:rPr>
              <w:t xml:space="preserve"> Q, 2015</w:t>
            </w:r>
          </w:p>
        </w:tc>
        <w:tc>
          <w:tcPr>
            <w:tcW w:w="1620" w:type="dxa"/>
          </w:tcPr>
          <w:p w:rsidR="009675FA" w:rsidRDefault="009675FA">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7A00AE" w:rsidTr="00BA4B71">
        <w:trPr>
          <w:cantSplit/>
          <w:trHeight w:val="503"/>
        </w:trPr>
        <w:tc>
          <w:tcPr>
            <w:tcW w:w="360" w:type="dxa"/>
          </w:tcPr>
          <w:p w:rsidR="007A00AE" w:rsidRPr="00A617C9" w:rsidRDefault="007A00AE">
            <w:pPr>
              <w:pStyle w:val="TableText"/>
              <w:spacing w:before="40" w:after="40"/>
              <w:ind w:left="144"/>
              <w:rPr>
                <w:rFonts w:ascii="Times New Roman" w:hAnsi="Times New Roman"/>
                <w:b/>
                <w:color w:val="auto"/>
                <w:sz w:val="18"/>
                <w:szCs w:val="18"/>
              </w:rPr>
            </w:pPr>
            <w:r w:rsidRPr="00A617C9">
              <w:rPr>
                <w:rFonts w:ascii="Times New Roman" w:hAnsi="Times New Roman"/>
                <w:b/>
                <w:color w:val="auto"/>
                <w:sz w:val="18"/>
                <w:szCs w:val="18"/>
              </w:rPr>
              <w:t>8.</w:t>
            </w:r>
          </w:p>
        </w:tc>
        <w:tc>
          <w:tcPr>
            <w:tcW w:w="9270" w:type="dxa"/>
            <w:gridSpan w:val="6"/>
          </w:tcPr>
          <w:p w:rsidR="007A00AE" w:rsidRPr="00A617C9" w:rsidRDefault="007A00AE">
            <w:pPr>
              <w:pStyle w:val="TableText"/>
              <w:widowControl w:val="0"/>
              <w:spacing w:before="40" w:after="40"/>
              <w:ind w:left="144"/>
              <w:rPr>
                <w:rFonts w:ascii="Times New Roman" w:hAnsi="Times New Roman"/>
                <w:b/>
                <w:color w:val="auto"/>
                <w:sz w:val="18"/>
                <w:szCs w:val="18"/>
              </w:rPr>
            </w:pPr>
            <w:r w:rsidRPr="00A617C9">
              <w:rPr>
                <w:rFonts w:ascii="Times New Roman" w:hAnsi="Times New Roman"/>
                <w:b/>
                <w:color w:val="auto"/>
                <w:sz w:val="18"/>
                <w:szCs w:val="18"/>
              </w:rPr>
              <w:t>Develop and/or modify standards to support FERC Order Instituting Proceeding to Develop Electronic Filing Protocols for Commission Forms (Docket No. AD15-11-000)</w:t>
            </w:r>
            <w:r w:rsidR="00056236" w:rsidRPr="00A617C9">
              <w:rPr>
                <w:rStyle w:val="FootnoteReference"/>
                <w:rFonts w:ascii="Times New Roman" w:hAnsi="Times New Roman"/>
                <w:b/>
                <w:color w:val="auto"/>
                <w:sz w:val="18"/>
                <w:szCs w:val="18"/>
              </w:rPr>
              <w:footnoteReference w:id="7"/>
            </w:r>
          </w:p>
        </w:tc>
      </w:tr>
      <w:tr w:rsidR="007A00AE" w:rsidTr="00702205">
        <w:trPr>
          <w:cantSplit/>
          <w:trHeight w:val="503"/>
        </w:trPr>
        <w:tc>
          <w:tcPr>
            <w:tcW w:w="360" w:type="dxa"/>
          </w:tcPr>
          <w:p w:rsidR="007A00AE" w:rsidRPr="00A617C9" w:rsidRDefault="007A00AE">
            <w:pPr>
              <w:pStyle w:val="TableText"/>
              <w:spacing w:before="40" w:after="40"/>
              <w:ind w:left="144"/>
              <w:rPr>
                <w:rFonts w:ascii="Times New Roman" w:hAnsi="Times New Roman"/>
                <w:b/>
                <w:color w:val="auto"/>
                <w:sz w:val="18"/>
                <w:szCs w:val="18"/>
              </w:rPr>
            </w:pPr>
          </w:p>
        </w:tc>
        <w:tc>
          <w:tcPr>
            <w:tcW w:w="360" w:type="dxa"/>
          </w:tcPr>
          <w:p w:rsidR="007A00AE" w:rsidRPr="00A617C9" w:rsidRDefault="007A00AE">
            <w:pPr>
              <w:spacing w:before="40" w:after="40"/>
              <w:ind w:left="144"/>
              <w:rPr>
                <w:sz w:val="18"/>
                <w:szCs w:val="18"/>
              </w:rPr>
            </w:pPr>
            <w:r w:rsidRPr="00A617C9">
              <w:rPr>
                <w:sz w:val="18"/>
                <w:szCs w:val="18"/>
              </w:rPr>
              <w:t>a)</w:t>
            </w:r>
          </w:p>
        </w:tc>
        <w:tc>
          <w:tcPr>
            <w:tcW w:w="6120" w:type="dxa"/>
            <w:gridSpan w:val="3"/>
          </w:tcPr>
          <w:p w:rsidR="007A00AE" w:rsidRPr="00A617C9" w:rsidRDefault="007A00AE" w:rsidP="00292F49">
            <w:pPr>
              <w:pStyle w:val="TableText"/>
              <w:tabs>
                <w:tab w:val="num" w:pos="433"/>
              </w:tabs>
              <w:spacing w:before="40" w:after="40"/>
              <w:ind w:left="144"/>
              <w:rPr>
                <w:rFonts w:ascii="Times New Roman" w:hAnsi="Times New Roman"/>
                <w:sz w:val="18"/>
                <w:szCs w:val="18"/>
              </w:rPr>
            </w:pPr>
            <w:r w:rsidRPr="00A617C9">
              <w:rPr>
                <w:rFonts w:ascii="Times New Roman" w:hAnsi="Times New Roman"/>
                <w:sz w:val="18"/>
                <w:szCs w:val="18"/>
              </w:rPr>
              <w:t xml:space="preserve">Develop business practices as needed to support </w:t>
            </w:r>
            <w:r w:rsidR="001E219D" w:rsidRPr="00A617C9">
              <w:rPr>
                <w:rFonts w:ascii="Times New Roman" w:hAnsi="Times New Roman"/>
                <w:sz w:val="18"/>
                <w:szCs w:val="18"/>
              </w:rPr>
              <w:t>electronic filing protocols for submittal of FERC Forms</w:t>
            </w:r>
          </w:p>
          <w:p w:rsidR="001E219D" w:rsidRPr="00A617C9" w:rsidRDefault="001E219D" w:rsidP="00ED0450">
            <w:pPr>
              <w:pStyle w:val="TableText"/>
              <w:tabs>
                <w:tab w:val="num" w:pos="433"/>
              </w:tabs>
              <w:spacing w:before="40" w:after="40"/>
              <w:ind w:left="144"/>
              <w:rPr>
                <w:rFonts w:ascii="Times New Roman" w:hAnsi="Times New Roman"/>
                <w:sz w:val="18"/>
                <w:szCs w:val="18"/>
              </w:rPr>
            </w:pPr>
            <w:r w:rsidRPr="00A617C9">
              <w:rPr>
                <w:rFonts w:ascii="Times New Roman" w:hAnsi="Times New Roman"/>
                <w:sz w:val="18"/>
                <w:szCs w:val="18"/>
              </w:rPr>
              <w:t>Status: Started</w:t>
            </w:r>
          </w:p>
        </w:tc>
        <w:tc>
          <w:tcPr>
            <w:tcW w:w="1170" w:type="dxa"/>
          </w:tcPr>
          <w:p w:rsidR="007A00AE" w:rsidRPr="00A617C9" w:rsidDel="000E110B" w:rsidRDefault="00EB2E8F">
            <w:pPr>
              <w:pStyle w:val="TableText"/>
              <w:widowControl w:val="0"/>
              <w:spacing w:before="40" w:after="40"/>
              <w:ind w:left="144"/>
              <w:jc w:val="center"/>
              <w:rPr>
                <w:rFonts w:ascii="Times New Roman" w:hAnsi="Times New Roman"/>
                <w:sz w:val="18"/>
                <w:szCs w:val="18"/>
              </w:rPr>
            </w:pPr>
            <w:r w:rsidRPr="00A617C9">
              <w:rPr>
                <w:rFonts w:ascii="Times New Roman" w:hAnsi="Times New Roman"/>
                <w:sz w:val="18"/>
                <w:szCs w:val="18"/>
              </w:rPr>
              <w:t>TBD</w:t>
            </w:r>
          </w:p>
        </w:tc>
        <w:tc>
          <w:tcPr>
            <w:tcW w:w="1620" w:type="dxa"/>
          </w:tcPr>
          <w:p w:rsidR="007A00AE" w:rsidRPr="00A617C9" w:rsidRDefault="001E219D">
            <w:pPr>
              <w:pStyle w:val="TableText"/>
              <w:widowControl w:val="0"/>
              <w:spacing w:before="40" w:after="40"/>
              <w:ind w:left="144"/>
              <w:rPr>
                <w:rFonts w:ascii="Times New Roman" w:hAnsi="Times New Roman"/>
                <w:color w:val="auto"/>
                <w:sz w:val="18"/>
                <w:szCs w:val="18"/>
              </w:rPr>
            </w:pPr>
            <w:r w:rsidRPr="00A617C9">
              <w:rPr>
                <w:rFonts w:ascii="Times New Roman" w:hAnsi="Times New Roman"/>
                <w:color w:val="auto"/>
                <w:sz w:val="18"/>
                <w:szCs w:val="18"/>
              </w:rPr>
              <w:t>Joint WEQ/WGQ FERC Forms Subcommittee</w:t>
            </w:r>
          </w:p>
        </w:tc>
      </w:tr>
      <w:tr w:rsidR="001E219D" w:rsidTr="00BA4B71">
        <w:trPr>
          <w:cantSplit/>
          <w:trHeight w:val="503"/>
        </w:trPr>
        <w:tc>
          <w:tcPr>
            <w:tcW w:w="360" w:type="dxa"/>
          </w:tcPr>
          <w:p w:rsidR="001E219D" w:rsidRPr="00A617C9" w:rsidRDefault="001E219D" w:rsidP="003E3368">
            <w:pPr>
              <w:pStyle w:val="TableText"/>
              <w:keepNext/>
              <w:keepLines/>
              <w:spacing w:before="40" w:after="40"/>
              <w:ind w:left="144"/>
              <w:rPr>
                <w:rFonts w:ascii="Times New Roman" w:hAnsi="Times New Roman"/>
                <w:b/>
                <w:color w:val="auto"/>
                <w:sz w:val="18"/>
                <w:szCs w:val="18"/>
              </w:rPr>
            </w:pPr>
            <w:r w:rsidRPr="00A617C9">
              <w:rPr>
                <w:rFonts w:ascii="Times New Roman" w:hAnsi="Times New Roman"/>
                <w:b/>
                <w:color w:val="auto"/>
                <w:sz w:val="18"/>
                <w:szCs w:val="18"/>
              </w:rPr>
              <w:lastRenderedPageBreak/>
              <w:t>9.</w:t>
            </w:r>
          </w:p>
        </w:tc>
        <w:tc>
          <w:tcPr>
            <w:tcW w:w="9270" w:type="dxa"/>
            <w:gridSpan w:val="6"/>
          </w:tcPr>
          <w:p w:rsidR="001E219D" w:rsidRPr="00A617C9" w:rsidRDefault="008204FA" w:rsidP="003E3368">
            <w:pPr>
              <w:pStyle w:val="TableText"/>
              <w:keepNext/>
              <w:keepLines/>
              <w:widowControl w:val="0"/>
              <w:spacing w:before="40" w:after="40"/>
              <w:ind w:left="144"/>
              <w:rPr>
                <w:rFonts w:ascii="Times New Roman" w:hAnsi="Times New Roman"/>
                <w:b/>
                <w:color w:val="auto"/>
                <w:sz w:val="18"/>
                <w:szCs w:val="18"/>
              </w:rPr>
            </w:pPr>
            <w:r w:rsidRPr="00A617C9">
              <w:rPr>
                <w:rFonts w:ascii="Times New Roman" w:hAnsi="Times New Roman"/>
                <w:b/>
                <w:color w:val="auto"/>
                <w:sz w:val="18"/>
                <w:szCs w:val="18"/>
              </w:rPr>
              <w:t>Gas-</w:t>
            </w:r>
            <w:r w:rsidR="00056236" w:rsidRPr="00A617C9">
              <w:rPr>
                <w:rFonts w:ascii="Times New Roman" w:hAnsi="Times New Roman"/>
                <w:b/>
                <w:color w:val="auto"/>
                <w:sz w:val="18"/>
                <w:szCs w:val="18"/>
              </w:rPr>
              <w:t>Electric Coordination</w:t>
            </w:r>
          </w:p>
        </w:tc>
      </w:tr>
      <w:tr w:rsidR="001E219D" w:rsidTr="00702205">
        <w:trPr>
          <w:cantSplit/>
          <w:trHeight w:val="503"/>
        </w:trPr>
        <w:tc>
          <w:tcPr>
            <w:tcW w:w="360" w:type="dxa"/>
          </w:tcPr>
          <w:p w:rsidR="001E219D" w:rsidRPr="00A617C9" w:rsidRDefault="001E219D" w:rsidP="003E3368">
            <w:pPr>
              <w:pStyle w:val="TableText"/>
              <w:keepNext/>
              <w:keepLines/>
              <w:spacing w:before="40" w:after="40"/>
              <w:ind w:left="144"/>
              <w:rPr>
                <w:rFonts w:ascii="Times New Roman" w:hAnsi="Times New Roman"/>
                <w:b/>
                <w:color w:val="auto"/>
                <w:sz w:val="18"/>
                <w:szCs w:val="18"/>
              </w:rPr>
            </w:pPr>
          </w:p>
        </w:tc>
        <w:tc>
          <w:tcPr>
            <w:tcW w:w="360" w:type="dxa"/>
          </w:tcPr>
          <w:p w:rsidR="001E219D" w:rsidRPr="00A617C9" w:rsidRDefault="00056236" w:rsidP="003E3368">
            <w:pPr>
              <w:keepNext/>
              <w:keepLines/>
              <w:spacing w:before="40" w:after="40"/>
              <w:ind w:left="144"/>
              <w:rPr>
                <w:sz w:val="18"/>
                <w:szCs w:val="18"/>
              </w:rPr>
            </w:pPr>
            <w:r w:rsidRPr="00A617C9">
              <w:rPr>
                <w:sz w:val="18"/>
                <w:szCs w:val="18"/>
              </w:rPr>
              <w:t>a)</w:t>
            </w:r>
          </w:p>
        </w:tc>
        <w:tc>
          <w:tcPr>
            <w:tcW w:w="6120" w:type="dxa"/>
            <w:gridSpan w:val="3"/>
          </w:tcPr>
          <w:p w:rsidR="001E219D" w:rsidRPr="00A617C9" w:rsidRDefault="00056236" w:rsidP="003E3368">
            <w:pPr>
              <w:pStyle w:val="TableText"/>
              <w:keepNext/>
              <w:keepLines/>
              <w:tabs>
                <w:tab w:val="num" w:pos="433"/>
              </w:tabs>
              <w:spacing w:before="40" w:after="40"/>
              <w:ind w:left="144"/>
              <w:rPr>
                <w:rFonts w:ascii="Times New Roman" w:hAnsi="Times New Roman"/>
                <w:sz w:val="18"/>
                <w:szCs w:val="18"/>
              </w:rPr>
            </w:pPr>
            <w:r w:rsidRPr="00A617C9">
              <w:rPr>
                <w:rFonts w:ascii="Times New Roman" w:hAnsi="Times New Roman"/>
                <w:sz w:val="18"/>
                <w:szCs w:val="18"/>
              </w:rPr>
              <w:t xml:space="preserve">Review FERC Order No. 809 ¶ 107 </w:t>
            </w:r>
            <w:r w:rsidR="00E01D96" w:rsidRPr="00A617C9">
              <w:rPr>
                <w:rFonts w:ascii="Times New Roman" w:hAnsi="Times New Roman"/>
                <w:sz w:val="18"/>
                <w:szCs w:val="18"/>
              </w:rPr>
              <w:t>issued in Docket No. RM14-2-000</w:t>
            </w:r>
            <w:r w:rsidR="00E01D96" w:rsidRPr="00A617C9">
              <w:rPr>
                <w:rStyle w:val="FootnoteReference"/>
                <w:rFonts w:ascii="Times New Roman" w:hAnsi="Times New Roman"/>
                <w:sz w:val="18"/>
                <w:szCs w:val="18"/>
              </w:rPr>
              <w:footnoteReference w:id="8"/>
            </w:r>
            <w:r w:rsidR="00E01D96" w:rsidRPr="00A617C9">
              <w:rPr>
                <w:rFonts w:ascii="Times New Roman" w:hAnsi="Times New Roman"/>
                <w:sz w:val="18"/>
                <w:szCs w:val="18"/>
              </w:rPr>
              <w:t xml:space="preserve"> </w:t>
            </w:r>
            <w:r w:rsidRPr="00A617C9">
              <w:rPr>
                <w:rFonts w:ascii="Times New Roman" w:hAnsi="Times New Roman"/>
                <w:sz w:val="18"/>
                <w:szCs w:val="18"/>
              </w:rPr>
              <w:t>regarding computerized scheduling and provide</w:t>
            </w:r>
            <w:r w:rsidR="005B3AFC" w:rsidRPr="00A617C9">
              <w:rPr>
                <w:rFonts w:ascii="Times New Roman" w:hAnsi="Times New Roman"/>
                <w:sz w:val="18"/>
                <w:szCs w:val="18"/>
              </w:rPr>
              <w:t xml:space="preserve"> recommended</w:t>
            </w:r>
            <w:r w:rsidRPr="00A617C9">
              <w:rPr>
                <w:rFonts w:ascii="Times New Roman" w:hAnsi="Times New Roman"/>
                <w:sz w:val="18"/>
                <w:szCs w:val="18"/>
              </w:rPr>
              <w:t xml:space="preserve"> direction concerning </w:t>
            </w:r>
            <w:r w:rsidR="009F4E6A" w:rsidRPr="00A617C9">
              <w:rPr>
                <w:rFonts w:ascii="Times New Roman" w:hAnsi="Times New Roman"/>
                <w:sz w:val="18"/>
                <w:szCs w:val="18"/>
              </w:rPr>
              <w:t>the development of standards or modifications to existing standards as needed to support the request of the Commission</w:t>
            </w:r>
            <w:r w:rsidR="008204FA" w:rsidRPr="00A617C9">
              <w:rPr>
                <w:rStyle w:val="FootnoteReference"/>
                <w:rFonts w:ascii="Times New Roman" w:hAnsi="Times New Roman"/>
                <w:sz w:val="18"/>
                <w:szCs w:val="18"/>
              </w:rPr>
              <w:footnoteReference w:id="9"/>
            </w:r>
            <w:r w:rsidR="009F4E6A" w:rsidRPr="00A617C9">
              <w:rPr>
                <w:rFonts w:ascii="Times New Roman" w:hAnsi="Times New Roman"/>
                <w:sz w:val="18"/>
                <w:szCs w:val="18"/>
              </w:rPr>
              <w:t xml:space="preserve"> </w:t>
            </w:r>
            <w:r w:rsidR="005B3AFC" w:rsidRPr="00A617C9">
              <w:rPr>
                <w:rFonts w:ascii="Times New Roman" w:hAnsi="Times New Roman"/>
                <w:sz w:val="18"/>
                <w:szCs w:val="18"/>
              </w:rPr>
              <w:t>The recommended direction will require board approval,</w:t>
            </w:r>
            <w:r w:rsidR="00163544" w:rsidRPr="00A617C9">
              <w:rPr>
                <w:sz w:val="18"/>
                <w:szCs w:val="18"/>
              </w:rPr>
              <w:t xml:space="preserve"> </w:t>
            </w:r>
            <w:r w:rsidR="00163544" w:rsidRPr="00A617C9">
              <w:rPr>
                <w:rFonts w:ascii="Times New Roman" w:hAnsi="Times New Roman"/>
                <w:sz w:val="18"/>
                <w:szCs w:val="18"/>
              </w:rPr>
              <w:t>for both the timeline to be pursued and the framework for standards development</w:t>
            </w:r>
          </w:p>
          <w:p w:rsidR="009F4E6A" w:rsidRPr="00A617C9" w:rsidRDefault="009F4E6A" w:rsidP="003E3368">
            <w:pPr>
              <w:pStyle w:val="TableText"/>
              <w:keepNext/>
              <w:keepLines/>
              <w:tabs>
                <w:tab w:val="num" w:pos="433"/>
              </w:tabs>
              <w:spacing w:before="40" w:after="40"/>
              <w:ind w:left="144"/>
              <w:rPr>
                <w:rFonts w:ascii="Times New Roman" w:hAnsi="Times New Roman"/>
                <w:sz w:val="18"/>
                <w:szCs w:val="18"/>
              </w:rPr>
            </w:pPr>
            <w:r w:rsidRPr="00A617C9">
              <w:rPr>
                <w:rFonts w:ascii="Times New Roman" w:hAnsi="Times New Roman"/>
                <w:sz w:val="18"/>
                <w:szCs w:val="18"/>
              </w:rPr>
              <w:t>Status: Not Started</w:t>
            </w:r>
          </w:p>
        </w:tc>
        <w:tc>
          <w:tcPr>
            <w:tcW w:w="1170" w:type="dxa"/>
          </w:tcPr>
          <w:p w:rsidR="001E219D" w:rsidRPr="00A617C9" w:rsidRDefault="009D6EAF">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2016</w:t>
            </w:r>
          </w:p>
        </w:tc>
        <w:tc>
          <w:tcPr>
            <w:tcW w:w="1620" w:type="dxa"/>
          </w:tcPr>
          <w:p w:rsidR="001E219D" w:rsidRPr="00A617C9" w:rsidRDefault="009F4E6A">
            <w:pPr>
              <w:pStyle w:val="TableText"/>
              <w:widowControl w:val="0"/>
              <w:spacing w:before="40" w:after="40"/>
              <w:ind w:left="144"/>
              <w:rPr>
                <w:rFonts w:ascii="Times New Roman" w:hAnsi="Times New Roman"/>
                <w:color w:val="auto"/>
                <w:sz w:val="18"/>
                <w:szCs w:val="18"/>
              </w:rPr>
            </w:pPr>
            <w:r w:rsidRPr="00A617C9">
              <w:rPr>
                <w:rFonts w:ascii="Times New Roman" w:hAnsi="Times New Roman"/>
                <w:color w:val="auto"/>
                <w:sz w:val="18"/>
                <w:szCs w:val="18"/>
              </w:rPr>
              <w:t xml:space="preserve">Gas-Electric Harmonization Forum, </w:t>
            </w:r>
            <w:r w:rsidR="005B3AFC" w:rsidRPr="00A617C9">
              <w:rPr>
                <w:rFonts w:ascii="Times New Roman" w:hAnsi="Times New Roman"/>
                <w:color w:val="auto"/>
                <w:sz w:val="18"/>
                <w:szCs w:val="18"/>
              </w:rPr>
              <w:t xml:space="preserve">NAESB Board of Directors, </w:t>
            </w:r>
            <w:r w:rsidRPr="00A617C9">
              <w:rPr>
                <w:rFonts w:ascii="Times New Roman" w:hAnsi="Times New Roman"/>
                <w:color w:val="auto"/>
                <w:sz w:val="18"/>
                <w:szCs w:val="18"/>
              </w:rPr>
              <w:t>WEQ EC &amp; WGQ EC</w:t>
            </w:r>
          </w:p>
        </w:tc>
      </w:tr>
      <w:tr w:rsidR="005B3AFC" w:rsidTr="00702205">
        <w:trPr>
          <w:cantSplit/>
          <w:trHeight w:val="503"/>
        </w:trPr>
        <w:tc>
          <w:tcPr>
            <w:tcW w:w="360" w:type="dxa"/>
          </w:tcPr>
          <w:p w:rsidR="005B3AFC" w:rsidRPr="00A617C9" w:rsidRDefault="005B3AFC">
            <w:pPr>
              <w:pStyle w:val="TableText"/>
              <w:spacing w:before="40" w:after="40"/>
              <w:ind w:left="144"/>
              <w:rPr>
                <w:rFonts w:ascii="Times New Roman" w:hAnsi="Times New Roman"/>
                <w:b/>
                <w:color w:val="auto"/>
                <w:sz w:val="18"/>
                <w:szCs w:val="18"/>
              </w:rPr>
            </w:pPr>
          </w:p>
        </w:tc>
        <w:tc>
          <w:tcPr>
            <w:tcW w:w="360" w:type="dxa"/>
          </w:tcPr>
          <w:p w:rsidR="005B3AFC" w:rsidRPr="00A617C9" w:rsidRDefault="005B3AFC">
            <w:pPr>
              <w:spacing w:before="40" w:after="40"/>
              <w:ind w:left="144"/>
              <w:rPr>
                <w:sz w:val="18"/>
                <w:szCs w:val="18"/>
              </w:rPr>
            </w:pPr>
            <w:r w:rsidRPr="00A617C9">
              <w:rPr>
                <w:sz w:val="18"/>
                <w:szCs w:val="18"/>
              </w:rPr>
              <w:t>b)</w:t>
            </w:r>
          </w:p>
        </w:tc>
        <w:tc>
          <w:tcPr>
            <w:tcW w:w="6120" w:type="dxa"/>
            <w:gridSpan w:val="3"/>
          </w:tcPr>
          <w:p w:rsidR="005B3AFC" w:rsidRPr="00A617C9" w:rsidRDefault="005B3AFC">
            <w:pPr>
              <w:pStyle w:val="TableText"/>
              <w:tabs>
                <w:tab w:val="num" w:pos="433"/>
              </w:tabs>
              <w:spacing w:before="40" w:after="40"/>
              <w:ind w:left="144"/>
              <w:rPr>
                <w:rFonts w:ascii="Times New Roman" w:hAnsi="Times New Roman"/>
                <w:sz w:val="18"/>
                <w:szCs w:val="18"/>
              </w:rPr>
            </w:pPr>
            <w:r w:rsidRPr="00A617C9">
              <w:rPr>
                <w:rFonts w:ascii="Times New Roman" w:hAnsi="Times New Roman"/>
                <w:sz w:val="18"/>
                <w:szCs w:val="18"/>
              </w:rPr>
              <w:t xml:space="preserve">Resulting from the efforts of annual plan item 9(a), develop standards as needed and directed by the Board of Directors, which are specifically assigned to the WEQ </w:t>
            </w:r>
          </w:p>
          <w:p w:rsidR="005B3AFC" w:rsidRPr="00A617C9" w:rsidRDefault="005B3AFC">
            <w:pPr>
              <w:pStyle w:val="TableText"/>
              <w:tabs>
                <w:tab w:val="num" w:pos="433"/>
              </w:tabs>
              <w:spacing w:before="40" w:after="40"/>
              <w:ind w:left="144"/>
              <w:rPr>
                <w:rFonts w:ascii="Times New Roman" w:hAnsi="Times New Roman"/>
                <w:sz w:val="18"/>
                <w:szCs w:val="18"/>
              </w:rPr>
            </w:pPr>
            <w:r w:rsidRPr="00A617C9">
              <w:rPr>
                <w:rFonts w:ascii="Times New Roman" w:hAnsi="Times New Roman"/>
                <w:sz w:val="18"/>
                <w:szCs w:val="18"/>
              </w:rPr>
              <w:t>Status: Not Started</w:t>
            </w:r>
            <w:r w:rsidR="00A617C9">
              <w:rPr>
                <w:rFonts w:ascii="Times New Roman" w:hAnsi="Times New Roman"/>
                <w:sz w:val="18"/>
                <w:szCs w:val="18"/>
              </w:rPr>
              <w:t>, dependent on completion of item 9(a).</w:t>
            </w:r>
          </w:p>
        </w:tc>
        <w:tc>
          <w:tcPr>
            <w:tcW w:w="1170" w:type="dxa"/>
          </w:tcPr>
          <w:p w:rsidR="005B3AFC" w:rsidRPr="00A617C9" w:rsidRDefault="009D6EAF">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2016</w:t>
            </w:r>
          </w:p>
        </w:tc>
        <w:tc>
          <w:tcPr>
            <w:tcW w:w="1620" w:type="dxa"/>
          </w:tcPr>
          <w:p w:rsidR="005B3AFC" w:rsidRPr="00A617C9" w:rsidRDefault="005B3AFC">
            <w:pPr>
              <w:pStyle w:val="TableText"/>
              <w:widowControl w:val="0"/>
              <w:spacing w:before="40" w:after="40"/>
              <w:ind w:left="144"/>
              <w:rPr>
                <w:rFonts w:ascii="Times New Roman" w:hAnsi="Times New Roman"/>
                <w:color w:val="auto"/>
                <w:sz w:val="18"/>
                <w:szCs w:val="18"/>
              </w:rPr>
            </w:pPr>
            <w:r w:rsidRPr="00A617C9">
              <w:rPr>
                <w:rFonts w:ascii="Times New Roman" w:hAnsi="Times New Roman"/>
                <w:color w:val="auto"/>
                <w:sz w:val="18"/>
                <w:szCs w:val="18"/>
              </w:rPr>
              <w:t>WEQ EC and relevant subcommittees</w:t>
            </w:r>
          </w:p>
        </w:tc>
      </w:tr>
    </w:tbl>
    <w:p w:rsidR="002C55F4" w:rsidRDefault="002C55F4" w:rsidP="00705D7D">
      <w:pPr>
        <w:pageBreakBefore/>
      </w:pPr>
    </w:p>
    <w:tbl>
      <w:tblPr>
        <w:tblW w:w="9630" w:type="dxa"/>
        <w:tblInd w:w="17" w:type="dxa"/>
        <w:tblBorders>
          <w:bottom w:val="single" w:sz="4" w:space="0" w:color="auto"/>
        </w:tblBorders>
        <w:tblLayout w:type="fixed"/>
        <w:tblCellMar>
          <w:top w:w="60" w:type="dxa"/>
          <w:left w:w="17" w:type="dxa"/>
          <w:right w:w="17" w:type="dxa"/>
        </w:tblCellMar>
        <w:tblLook w:val="0000" w:firstRow="0" w:lastRow="0" w:firstColumn="0" w:lastColumn="0" w:noHBand="0" w:noVBand="0"/>
      </w:tblPr>
      <w:tblGrid>
        <w:gridCol w:w="358"/>
        <w:gridCol w:w="446"/>
        <w:gridCol w:w="8826"/>
      </w:tblGrid>
      <w:tr w:rsidR="002C55F4" w:rsidTr="007D2ECE">
        <w:trPr>
          <w:cantSplit/>
          <w:tblHeader/>
        </w:trPr>
        <w:tc>
          <w:tcPr>
            <w:tcW w:w="9630" w:type="dxa"/>
            <w:gridSpan w:val="3"/>
            <w:tcBorders>
              <w:top w:val="nil"/>
              <w:bottom w:val="single" w:sz="4" w:space="0" w:color="auto"/>
            </w:tcBorders>
          </w:tcPr>
          <w:p w:rsidR="002C55F4" w:rsidRPr="00696526" w:rsidRDefault="002C55F4" w:rsidP="0072552C">
            <w:pPr>
              <w:pStyle w:val="BodyTextIndent3"/>
              <w:tabs>
                <w:tab w:val="left" w:pos="6336"/>
              </w:tabs>
              <w:spacing w:before="40" w:after="40"/>
              <w:ind w:left="144"/>
              <w:jc w:val="center"/>
              <w:rPr>
                <w:b/>
                <w:sz w:val="18"/>
                <w:szCs w:val="18"/>
              </w:rPr>
            </w:pPr>
            <w:r w:rsidRPr="00696526">
              <w:rPr>
                <w:b/>
                <w:sz w:val="18"/>
                <w:szCs w:val="18"/>
              </w:rPr>
              <w:t>NORTH AMERICAN ENERGY STANDARDS BOARD</w:t>
            </w:r>
            <w:r w:rsidRPr="00696526">
              <w:rPr>
                <w:b/>
                <w:sz w:val="18"/>
                <w:szCs w:val="18"/>
              </w:rPr>
              <w:br/>
            </w:r>
            <w:r w:rsidR="0072552C">
              <w:rPr>
                <w:b/>
                <w:sz w:val="18"/>
                <w:szCs w:val="18"/>
              </w:rPr>
              <w:t>2015</w:t>
            </w:r>
            <w:r w:rsidR="0072552C" w:rsidRPr="00696526">
              <w:rPr>
                <w:b/>
                <w:sz w:val="18"/>
                <w:szCs w:val="18"/>
              </w:rPr>
              <w:t xml:space="preserve"> </w:t>
            </w:r>
            <w:r w:rsidRPr="00696526">
              <w:rPr>
                <w:b/>
                <w:sz w:val="18"/>
                <w:szCs w:val="18"/>
              </w:rPr>
              <w:t xml:space="preserve">ANNUAL PLAN for the WHOLESALE ELECTRIC QUADRANT </w:t>
            </w:r>
            <w:r w:rsidRPr="00696526">
              <w:rPr>
                <w:b/>
                <w:sz w:val="18"/>
                <w:szCs w:val="18"/>
              </w:rPr>
              <w:br/>
            </w:r>
            <w:r w:rsidR="0072552C">
              <w:rPr>
                <w:b/>
                <w:sz w:val="18"/>
                <w:szCs w:val="18"/>
              </w:rPr>
              <w:t>As Proposed by the WEQ Annual Plan Subcommittee</w:t>
            </w:r>
          </w:p>
        </w:tc>
      </w:tr>
      <w:tr w:rsidR="002C55F4">
        <w:trPr>
          <w:cantSplit/>
          <w:tblHeader/>
        </w:trPr>
        <w:tc>
          <w:tcPr>
            <w:tcW w:w="9630" w:type="dxa"/>
            <w:gridSpan w:val="3"/>
            <w:tcBorders>
              <w:top w:val="single" w:sz="4" w:space="0" w:color="auto"/>
              <w:bottom w:val="single" w:sz="4" w:space="0" w:color="auto"/>
            </w:tcBorders>
          </w:tcPr>
          <w:p w:rsidR="002C55F4" w:rsidRPr="00696526" w:rsidRDefault="002C55F4">
            <w:pPr>
              <w:pStyle w:val="BodyTextIndent3"/>
              <w:tabs>
                <w:tab w:val="left" w:pos="6336"/>
              </w:tabs>
              <w:spacing w:before="40" w:after="40"/>
              <w:ind w:left="144"/>
              <w:rPr>
                <w:b/>
                <w:sz w:val="18"/>
                <w:szCs w:val="18"/>
              </w:rPr>
            </w:pPr>
            <w:r w:rsidRPr="00696526">
              <w:rPr>
                <w:b/>
                <w:sz w:val="18"/>
                <w:szCs w:val="18"/>
              </w:rPr>
              <w:t>PROVISIONAL ITEMS</w:t>
            </w:r>
          </w:p>
        </w:tc>
      </w:tr>
      <w:tr w:rsidR="002C55F4" w:rsidTr="00C148DA">
        <w:tc>
          <w:tcPr>
            <w:tcW w:w="358" w:type="dxa"/>
            <w:shd w:val="clear" w:color="auto" w:fill="FFFFFF"/>
          </w:tcPr>
          <w:p w:rsidR="002C55F4" w:rsidRDefault="00AC702E">
            <w:pPr>
              <w:pStyle w:val="TableText"/>
              <w:spacing w:before="40" w:after="40"/>
              <w:rPr>
                <w:rFonts w:ascii="Times New Roman" w:hAnsi="Times New Roman"/>
                <w:color w:val="auto"/>
                <w:sz w:val="18"/>
                <w:szCs w:val="18"/>
              </w:rPr>
            </w:pPr>
            <w:r>
              <w:rPr>
                <w:rFonts w:ascii="Times New Roman" w:hAnsi="Times New Roman"/>
                <w:color w:val="auto"/>
                <w:sz w:val="18"/>
                <w:szCs w:val="18"/>
              </w:rPr>
              <w:t>1</w:t>
            </w:r>
            <w:r w:rsidR="009675FA">
              <w:rPr>
                <w:rFonts w:ascii="Times New Roman" w:hAnsi="Times New Roman"/>
                <w:color w:val="auto"/>
                <w:sz w:val="18"/>
                <w:szCs w:val="18"/>
              </w:rPr>
              <w:t>.</w:t>
            </w:r>
          </w:p>
        </w:tc>
        <w:tc>
          <w:tcPr>
            <w:tcW w:w="446" w:type="dxa"/>
            <w:shd w:val="clear" w:color="auto" w:fill="FFFFFF"/>
          </w:tcPr>
          <w:p w:rsidR="002C55F4" w:rsidRDefault="002C55F4">
            <w:pPr>
              <w:pStyle w:val="TableText"/>
              <w:keepNext/>
              <w:spacing w:before="40" w:after="40"/>
              <w:rPr>
                <w:rFonts w:ascii="Times New Roman" w:hAnsi="Times New Roman"/>
                <w:color w:val="auto"/>
                <w:sz w:val="18"/>
                <w:szCs w:val="18"/>
              </w:rPr>
            </w:pPr>
          </w:p>
        </w:tc>
        <w:tc>
          <w:tcPr>
            <w:tcW w:w="8826" w:type="dxa"/>
            <w:shd w:val="clear" w:color="auto" w:fill="FFFFFF"/>
          </w:tcPr>
          <w:p w:rsidR="002C55F4" w:rsidRPr="00696526" w:rsidRDefault="002C55F4">
            <w:pPr>
              <w:pStyle w:val="Signature"/>
              <w:spacing w:before="40" w:after="40"/>
              <w:rPr>
                <w:sz w:val="18"/>
                <w:szCs w:val="18"/>
              </w:rPr>
            </w:pPr>
            <w:r w:rsidRPr="00696526">
              <w:rPr>
                <w:b/>
                <w:sz w:val="18"/>
                <w:szCs w:val="18"/>
              </w:rPr>
              <w:t>Gas/Electric Coordination</w:t>
            </w:r>
          </w:p>
        </w:tc>
      </w:tr>
      <w:tr w:rsidR="002C55F4" w:rsidTr="00C148DA">
        <w:tc>
          <w:tcPr>
            <w:tcW w:w="358" w:type="dxa"/>
            <w:shd w:val="clear" w:color="auto" w:fill="FFFFFF"/>
          </w:tcPr>
          <w:p w:rsidR="002C55F4" w:rsidRDefault="002C55F4">
            <w:pPr>
              <w:pStyle w:val="TableText"/>
              <w:spacing w:before="40" w:after="40"/>
              <w:rPr>
                <w:rFonts w:ascii="Times New Roman" w:hAnsi="Times New Roman"/>
                <w:color w:val="auto"/>
                <w:sz w:val="18"/>
                <w:szCs w:val="18"/>
              </w:rPr>
            </w:pPr>
          </w:p>
        </w:tc>
        <w:tc>
          <w:tcPr>
            <w:tcW w:w="446" w:type="dxa"/>
            <w:shd w:val="clear" w:color="auto" w:fill="FFFFFF"/>
          </w:tcPr>
          <w:p w:rsidR="002C55F4" w:rsidRDefault="002C55F4">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a)</w:t>
            </w:r>
          </w:p>
        </w:tc>
        <w:tc>
          <w:tcPr>
            <w:tcW w:w="8826" w:type="dxa"/>
            <w:shd w:val="clear" w:color="auto" w:fill="FFFFFF"/>
          </w:tcPr>
          <w:p w:rsidR="002C55F4" w:rsidRPr="00696526" w:rsidRDefault="002C55F4">
            <w:pPr>
              <w:pStyle w:val="Signature"/>
              <w:spacing w:before="40" w:after="40"/>
              <w:rPr>
                <w:sz w:val="18"/>
                <w:szCs w:val="18"/>
              </w:rPr>
            </w:pPr>
            <w:r w:rsidRPr="00696526">
              <w:rPr>
                <w:sz w:val="18"/>
                <w:szCs w:val="18"/>
              </w:rPr>
              <w:t>Conduct assessment to determine if Electric Industry Requirements documented in WEQ-011 Gas / Electric Coordination should be considered reliability requirements and transition to NERC.</w:t>
            </w:r>
          </w:p>
        </w:tc>
      </w:tr>
      <w:tr w:rsidR="007A3E47" w:rsidTr="00C148DA">
        <w:tc>
          <w:tcPr>
            <w:tcW w:w="358" w:type="dxa"/>
            <w:shd w:val="clear" w:color="auto" w:fill="FFFFFF"/>
          </w:tcPr>
          <w:p w:rsidR="007A3E47" w:rsidRDefault="007A3E47">
            <w:pPr>
              <w:pStyle w:val="TableText"/>
              <w:spacing w:before="40" w:after="40"/>
              <w:rPr>
                <w:rFonts w:ascii="Times New Roman" w:hAnsi="Times New Roman"/>
                <w:color w:val="auto"/>
                <w:sz w:val="18"/>
                <w:szCs w:val="18"/>
              </w:rPr>
            </w:pPr>
          </w:p>
        </w:tc>
        <w:tc>
          <w:tcPr>
            <w:tcW w:w="446" w:type="dxa"/>
            <w:shd w:val="clear" w:color="auto" w:fill="FFFFFF"/>
          </w:tcPr>
          <w:p w:rsidR="007A3E47" w:rsidRDefault="007A3E47">
            <w:pPr>
              <w:pStyle w:val="TableText"/>
              <w:keepNext/>
              <w:spacing w:before="40" w:after="40"/>
              <w:rPr>
                <w:rFonts w:ascii="Times New Roman" w:hAnsi="Times New Roman"/>
                <w:color w:val="auto"/>
                <w:sz w:val="18"/>
                <w:szCs w:val="18"/>
              </w:rPr>
            </w:pPr>
          </w:p>
        </w:tc>
        <w:tc>
          <w:tcPr>
            <w:tcW w:w="8826" w:type="dxa"/>
            <w:shd w:val="clear" w:color="auto" w:fill="FFFFFF"/>
          </w:tcPr>
          <w:p w:rsidR="007A3E47" w:rsidRDefault="007A3E47" w:rsidP="00E35E96">
            <w:pPr>
              <w:pStyle w:val="TableText"/>
              <w:tabs>
                <w:tab w:val="left" w:pos="6720"/>
              </w:tabs>
              <w:spacing w:before="60" w:after="60"/>
              <w:rPr>
                <w:rFonts w:ascii="Times New Roman" w:hAnsi="Times New Roman"/>
                <w:sz w:val="18"/>
                <w:szCs w:val="18"/>
              </w:rPr>
            </w:pPr>
          </w:p>
        </w:tc>
      </w:tr>
      <w:tr w:rsidR="002C55F4" w:rsidTr="00C148DA">
        <w:tc>
          <w:tcPr>
            <w:tcW w:w="358" w:type="dxa"/>
            <w:shd w:val="clear" w:color="auto" w:fill="FFFFFF"/>
          </w:tcPr>
          <w:p w:rsidR="002C55F4" w:rsidRDefault="00AC702E">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2</w:t>
            </w:r>
            <w:r w:rsidR="009675FA">
              <w:rPr>
                <w:rFonts w:ascii="Times New Roman" w:hAnsi="Times New Roman"/>
                <w:color w:val="auto"/>
                <w:sz w:val="18"/>
                <w:szCs w:val="18"/>
              </w:rPr>
              <w:t>.</w:t>
            </w:r>
          </w:p>
        </w:tc>
        <w:tc>
          <w:tcPr>
            <w:tcW w:w="446" w:type="dxa"/>
            <w:shd w:val="clear" w:color="auto" w:fill="FFFFFF"/>
          </w:tcPr>
          <w:p w:rsidR="002C55F4" w:rsidRDefault="002C55F4">
            <w:pPr>
              <w:pStyle w:val="TableText"/>
              <w:keepNext/>
              <w:spacing w:before="40" w:after="40"/>
              <w:rPr>
                <w:rFonts w:ascii="Times New Roman" w:hAnsi="Times New Roman"/>
                <w:color w:val="auto"/>
                <w:sz w:val="18"/>
                <w:szCs w:val="18"/>
              </w:rPr>
            </w:pPr>
          </w:p>
        </w:tc>
        <w:tc>
          <w:tcPr>
            <w:tcW w:w="8826" w:type="dxa"/>
            <w:shd w:val="clear" w:color="auto" w:fill="FFFFFF"/>
          </w:tcPr>
          <w:p w:rsidR="002C55F4" w:rsidRPr="00696526" w:rsidRDefault="002C55F4">
            <w:pPr>
              <w:pStyle w:val="Signature"/>
              <w:keepNext/>
              <w:spacing w:before="40" w:after="40"/>
              <w:rPr>
                <w:sz w:val="18"/>
                <w:szCs w:val="18"/>
              </w:rPr>
            </w:pPr>
            <w:r w:rsidRPr="00696526">
              <w:rPr>
                <w:b/>
                <w:sz w:val="18"/>
                <w:szCs w:val="18"/>
              </w:rPr>
              <w:t xml:space="preserve">Optional </w:t>
            </w:r>
            <w:r w:rsidR="009675FA">
              <w:rPr>
                <w:b/>
                <w:sz w:val="18"/>
                <w:szCs w:val="18"/>
              </w:rPr>
              <w:t>W</w:t>
            </w:r>
            <w:r w:rsidRPr="00696526">
              <w:rPr>
                <w:b/>
                <w:sz w:val="18"/>
                <w:szCs w:val="18"/>
              </w:rPr>
              <w:t xml:space="preserve">ork to </w:t>
            </w:r>
            <w:r w:rsidR="009675FA">
              <w:rPr>
                <w:b/>
                <w:sz w:val="18"/>
                <w:szCs w:val="18"/>
              </w:rPr>
              <w:t>E</w:t>
            </w:r>
            <w:r w:rsidRPr="00696526">
              <w:rPr>
                <w:b/>
                <w:sz w:val="18"/>
                <w:szCs w:val="18"/>
              </w:rPr>
              <w:t xml:space="preserve">xtend </w:t>
            </w:r>
            <w:r w:rsidR="009675FA">
              <w:rPr>
                <w:b/>
                <w:sz w:val="18"/>
                <w:szCs w:val="18"/>
              </w:rPr>
              <w:t>E</w:t>
            </w:r>
            <w:r w:rsidRPr="00696526">
              <w:rPr>
                <w:b/>
                <w:sz w:val="18"/>
                <w:szCs w:val="18"/>
              </w:rPr>
              <w:t xml:space="preserve">xisting </w:t>
            </w:r>
            <w:r w:rsidR="009675FA">
              <w:rPr>
                <w:b/>
                <w:sz w:val="18"/>
                <w:szCs w:val="18"/>
              </w:rPr>
              <w:t>S</w:t>
            </w:r>
            <w:r w:rsidRPr="00696526">
              <w:rPr>
                <w:b/>
                <w:sz w:val="18"/>
                <w:szCs w:val="18"/>
              </w:rPr>
              <w:t>tandards</w:t>
            </w:r>
          </w:p>
        </w:tc>
      </w:tr>
      <w:tr w:rsidR="002C55F4" w:rsidTr="00C148DA">
        <w:tc>
          <w:tcPr>
            <w:tcW w:w="358" w:type="dxa"/>
            <w:shd w:val="clear" w:color="auto" w:fill="FFFFFF"/>
          </w:tcPr>
          <w:p w:rsidR="002C55F4" w:rsidRDefault="002C55F4">
            <w:pPr>
              <w:pStyle w:val="TableText"/>
              <w:spacing w:before="40" w:after="40"/>
              <w:rPr>
                <w:rFonts w:ascii="Times New Roman" w:hAnsi="Times New Roman"/>
                <w:color w:val="auto"/>
                <w:sz w:val="18"/>
                <w:szCs w:val="18"/>
              </w:rPr>
            </w:pPr>
          </w:p>
        </w:tc>
        <w:tc>
          <w:tcPr>
            <w:tcW w:w="446" w:type="dxa"/>
            <w:shd w:val="clear" w:color="auto" w:fill="FFFFFF"/>
          </w:tcPr>
          <w:p w:rsidR="002C55F4" w:rsidRDefault="002C55F4">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a)</w:t>
            </w:r>
          </w:p>
        </w:tc>
        <w:tc>
          <w:tcPr>
            <w:tcW w:w="8826" w:type="dxa"/>
            <w:shd w:val="clear" w:color="auto" w:fill="FFFFFF"/>
          </w:tcPr>
          <w:p w:rsidR="002C55F4" w:rsidRPr="00696526" w:rsidRDefault="002C55F4">
            <w:pPr>
              <w:pStyle w:val="Signature"/>
              <w:spacing w:before="40" w:after="40"/>
              <w:rPr>
                <w:sz w:val="18"/>
                <w:szCs w:val="18"/>
              </w:rPr>
            </w:pPr>
            <w:r w:rsidRPr="00696526">
              <w:rPr>
                <w:sz w:val="18"/>
                <w:szCs w:val="18"/>
              </w:rPr>
              <w:t>Prepare recommendations for future path for TLR</w:t>
            </w:r>
            <w:r w:rsidRPr="00696526">
              <w:rPr>
                <w:rStyle w:val="FootnoteReference"/>
                <w:sz w:val="18"/>
                <w:szCs w:val="18"/>
              </w:rPr>
              <w:footnoteReference w:id="10"/>
            </w:r>
            <w:r w:rsidRPr="00696526">
              <w:rPr>
                <w:sz w:val="18"/>
                <w:szCs w:val="18"/>
              </w:rPr>
              <w:t xml:space="preserve"> (Phase 2) in concert with NERC, which may include alternative congestion management procedures</w:t>
            </w:r>
            <w:r w:rsidRPr="00696526">
              <w:rPr>
                <w:rStyle w:val="FootnoteReference"/>
                <w:sz w:val="18"/>
                <w:szCs w:val="18"/>
              </w:rPr>
              <w:footnoteReference w:id="11"/>
            </w:r>
            <w:r w:rsidRPr="00696526">
              <w:rPr>
                <w:sz w:val="18"/>
                <w:szCs w:val="18"/>
              </w:rPr>
              <w:t>.  Work on this activity is dependent on completing 2010 WEQ Annual Plan 1.a (Parallel Flow Visualization/Mitigation for Reliability Coordinators in the Eastern Interconnection - Phase 1).</w:t>
            </w:r>
          </w:p>
        </w:tc>
      </w:tr>
      <w:tr w:rsidR="002C55F4" w:rsidTr="00C148DA">
        <w:tc>
          <w:tcPr>
            <w:tcW w:w="358" w:type="dxa"/>
            <w:shd w:val="clear" w:color="auto" w:fill="FFFFFF"/>
          </w:tcPr>
          <w:p w:rsidR="002C55F4" w:rsidRDefault="002C55F4">
            <w:pPr>
              <w:pStyle w:val="TableText"/>
              <w:spacing w:before="40" w:after="40"/>
              <w:rPr>
                <w:rFonts w:ascii="Times New Roman" w:hAnsi="Times New Roman"/>
                <w:color w:val="auto"/>
                <w:sz w:val="18"/>
                <w:szCs w:val="18"/>
              </w:rPr>
            </w:pPr>
          </w:p>
        </w:tc>
        <w:tc>
          <w:tcPr>
            <w:tcW w:w="446" w:type="dxa"/>
            <w:shd w:val="clear" w:color="auto" w:fill="FFFFFF"/>
          </w:tcPr>
          <w:p w:rsidR="002C55F4" w:rsidRDefault="002C55F4">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b)</w:t>
            </w:r>
          </w:p>
        </w:tc>
        <w:tc>
          <w:tcPr>
            <w:tcW w:w="8826" w:type="dxa"/>
            <w:shd w:val="clear" w:color="auto" w:fill="FFFFFF"/>
          </w:tcPr>
          <w:p w:rsidR="002C55F4" w:rsidRPr="00696526" w:rsidRDefault="002C55F4">
            <w:pPr>
              <w:pStyle w:val="Signature"/>
              <w:spacing w:before="40" w:after="40"/>
              <w:rPr>
                <w:sz w:val="18"/>
                <w:szCs w:val="18"/>
              </w:rPr>
            </w:pPr>
            <w:r w:rsidRPr="00696526">
              <w:rPr>
                <w:sz w:val="18"/>
                <w:szCs w:val="18"/>
              </w:rPr>
              <w:t>Develop needed business practice standards for organization/company codes for NAESB standards – and address current issues on the use of DUNs numbers.  Common code usage is linked to the transition of the Registry from NERC to NAESB.</w:t>
            </w:r>
          </w:p>
        </w:tc>
      </w:tr>
      <w:tr w:rsidR="003A366C" w:rsidTr="00C148DA">
        <w:tc>
          <w:tcPr>
            <w:tcW w:w="358" w:type="dxa"/>
            <w:shd w:val="clear" w:color="auto" w:fill="FFFFFF"/>
          </w:tcPr>
          <w:p w:rsidR="003A366C" w:rsidRDefault="003A366C">
            <w:pPr>
              <w:pStyle w:val="TableText"/>
              <w:spacing w:before="40" w:after="40"/>
              <w:rPr>
                <w:rFonts w:ascii="Times New Roman" w:hAnsi="Times New Roman"/>
                <w:color w:val="auto"/>
                <w:sz w:val="18"/>
                <w:szCs w:val="18"/>
              </w:rPr>
            </w:pPr>
          </w:p>
        </w:tc>
        <w:tc>
          <w:tcPr>
            <w:tcW w:w="446" w:type="dxa"/>
            <w:shd w:val="clear" w:color="auto" w:fill="FFFFFF"/>
          </w:tcPr>
          <w:p w:rsidR="003A366C" w:rsidRDefault="003A366C">
            <w:pPr>
              <w:pStyle w:val="TableText"/>
              <w:keepNext/>
              <w:spacing w:before="40" w:after="40"/>
              <w:rPr>
                <w:rFonts w:ascii="Times New Roman" w:hAnsi="Times New Roman"/>
                <w:color w:val="auto"/>
                <w:sz w:val="18"/>
                <w:szCs w:val="18"/>
              </w:rPr>
            </w:pPr>
          </w:p>
        </w:tc>
        <w:tc>
          <w:tcPr>
            <w:tcW w:w="8826" w:type="dxa"/>
            <w:shd w:val="clear" w:color="auto" w:fill="FFFFFF"/>
          </w:tcPr>
          <w:p w:rsidR="003A366C" w:rsidRPr="00696526" w:rsidRDefault="003A366C">
            <w:pPr>
              <w:pStyle w:val="Signature"/>
              <w:spacing w:before="40" w:after="40"/>
              <w:rPr>
                <w:sz w:val="18"/>
                <w:szCs w:val="18"/>
              </w:rPr>
            </w:pPr>
          </w:p>
        </w:tc>
      </w:tr>
      <w:tr w:rsidR="002C55F4" w:rsidTr="00C148DA">
        <w:tc>
          <w:tcPr>
            <w:tcW w:w="358" w:type="dxa"/>
            <w:shd w:val="clear" w:color="auto" w:fill="FFFFFF"/>
          </w:tcPr>
          <w:p w:rsidR="002C55F4" w:rsidRDefault="00AC702E">
            <w:pPr>
              <w:pStyle w:val="TableText"/>
              <w:spacing w:before="40" w:after="40"/>
              <w:rPr>
                <w:rFonts w:ascii="Times New Roman" w:hAnsi="Times New Roman"/>
                <w:color w:val="auto"/>
                <w:sz w:val="18"/>
                <w:szCs w:val="18"/>
              </w:rPr>
            </w:pPr>
            <w:r>
              <w:rPr>
                <w:rFonts w:ascii="Times New Roman" w:hAnsi="Times New Roman"/>
                <w:color w:val="auto"/>
                <w:sz w:val="18"/>
                <w:szCs w:val="18"/>
              </w:rPr>
              <w:t>3</w:t>
            </w:r>
            <w:r w:rsidR="009675FA">
              <w:rPr>
                <w:rFonts w:ascii="Times New Roman" w:hAnsi="Times New Roman"/>
                <w:color w:val="auto"/>
                <w:sz w:val="18"/>
                <w:szCs w:val="18"/>
              </w:rPr>
              <w:t>.</w:t>
            </w:r>
          </w:p>
        </w:tc>
        <w:tc>
          <w:tcPr>
            <w:tcW w:w="446" w:type="dxa"/>
            <w:shd w:val="clear" w:color="auto" w:fill="FFFFFF"/>
          </w:tcPr>
          <w:p w:rsidR="002C55F4" w:rsidRDefault="002C55F4">
            <w:pPr>
              <w:pStyle w:val="TableText"/>
              <w:keepNext/>
              <w:spacing w:before="40" w:after="40"/>
              <w:rPr>
                <w:rFonts w:ascii="Times New Roman" w:hAnsi="Times New Roman"/>
                <w:color w:val="auto"/>
                <w:sz w:val="18"/>
                <w:szCs w:val="18"/>
              </w:rPr>
            </w:pPr>
          </w:p>
        </w:tc>
        <w:tc>
          <w:tcPr>
            <w:tcW w:w="8826" w:type="dxa"/>
            <w:shd w:val="clear" w:color="auto" w:fill="FFFFFF"/>
          </w:tcPr>
          <w:p w:rsidR="002C55F4" w:rsidRPr="00696526" w:rsidRDefault="002C55F4">
            <w:pPr>
              <w:pStyle w:val="Signature"/>
              <w:spacing w:before="40" w:after="40"/>
              <w:rPr>
                <w:sz w:val="18"/>
                <w:szCs w:val="18"/>
              </w:rPr>
            </w:pPr>
            <w:r w:rsidRPr="00696526">
              <w:rPr>
                <w:b/>
                <w:sz w:val="18"/>
                <w:szCs w:val="18"/>
              </w:rPr>
              <w:t>Pending Regulatory or Legislative Action</w:t>
            </w:r>
          </w:p>
        </w:tc>
      </w:tr>
      <w:tr w:rsidR="002C55F4" w:rsidTr="00C148DA">
        <w:tc>
          <w:tcPr>
            <w:tcW w:w="358" w:type="dxa"/>
            <w:shd w:val="clear" w:color="auto" w:fill="FFFFFF"/>
          </w:tcPr>
          <w:p w:rsidR="002C55F4" w:rsidRDefault="002C55F4">
            <w:pPr>
              <w:pStyle w:val="TableText"/>
              <w:spacing w:before="40" w:after="40"/>
              <w:rPr>
                <w:rFonts w:ascii="Times New Roman" w:hAnsi="Times New Roman"/>
                <w:color w:val="auto"/>
                <w:sz w:val="18"/>
                <w:szCs w:val="18"/>
              </w:rPr>
            </w:pPr>
          </w:p>
        </w:tc>
        <w:tc>
          <w:tcPr>
            <w:tcW w:w="446" w:type="dxa"/>
            <w:shd w:val="clear" w:color="auto" w:fill="FFFFFF"/>
          </w:tcPr>
          <w:p w:rsidR="002C55F4" w:rsidRDefault="002C55F4">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a)</w:t>
            </w:r>
          </w:p>
        </w:tc>
        <w:tc>
          <w:tcPr>
            <w:tcW w:w="8826" w:type="dxa"/>
            <w:shd w:val="clear" w:color="auto" w:fill="FFFFFF"/>
          </w:tcPr>
          <w:p w:rsidR="002C55F4" w:rsidRPr="00696526" w:rsidRDefault="002C55F4">
            <w:pPr>
              <w:pStyle w:val="Signature"/>
              <w:spacing w:before="40" w:after="40"/>
              <w:rPr>
                <w:sz w:val="18"/>
                <w:szCs w:val="18"/>
              </w:rPr>
            </w:pPr>
            <w:r w:rsidRPr="00696526">
              <w:rPr>
                <w:sz w:val="18"/>
                <w:szCs w:val="18"/>
              </w:rPr>
              <w:t>Determine NAESB action needed to support FERC Action Plan for Smart Grid Technology.</w:t>
            </w:r>
          </w:p>
        </w:tc>
      </w:tr>
      <w:tr w:rsidR="002C55F4" w:rsidTr="00C148DA">
        <w:tc>
          <w:tcPr>
            <w:tcW w:w="358" w:type="dxa"/>
            <w:shd w:val="clear" w:color="auto" w:fill="FFFFFF"/>
          </w:tcPr>
          <w:p w:rsidR="002C55F4" w:rsidRDefault="002C55F4">
            <w:pPr>
              <w:pStyle w:val="TableText"/>
              <w:spacing w:before="40" w:after="40"/>
              <w:rPr>
                <w:rFonts w:ascii="Times New Roman" w:hAnsi="Times New Roman"/>
                <w:color w:val="auto"/>
                <w:sz w:val="18"/>
                <w:szCs w:val="18"/>
              </w:rPr>
            </w:pPr>
          </w:p>
        </w:tc>
        <w:tc>
          <w:tcPr>
            <w:tcW w:w="446" w:type="dxa"/>
            <w:shd w:val="clear" w:color="auto" w:fill="FFFFFF"/>
          </w:tcPr>
          <w:p w:rsidR="002C55F4" w:rsidRDefault="002C55F4">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b)</w:t>
            </w:r>
          </w:p>
        </w:tc>
        <w:tc>
          <w:tcPr>
            <w:tcW w:w="8826" w:type="dxa"/>
            <w:shd w:val="clear" w:color="auto" w:fill="FFFFFF"/>
          </w:tcPr>
          <w:p w:rsidR="002C55F4" w:rsidRPr="00696526" w:rsidRDefault="002C55F4">
            <w:pPr>
              <w:pStyle w:val="Signature"/>
              <w:spacing w:before="40" w:after="40"/>
              <w:rPr>
                <w:sz w:val="18"/>
                <w:szCs w:val="18"/>
              </w:rPr>
            </w:pPr>
            <w:r w:rsidRPr="00696526">
              <w:rPr>
                <w:sz w:val="18"/>
                <w:szCs w:val="18"/>
              </w:rPr>
              <w:t>Develop business practice standards for cap and trade programs for greenhouse gas.</w:t>
            </w:r>
          </w:p>
        </w:tc>
      </w:tr>
      <w:tr w:rsidR="002C55F4" w:rsidTr="00C148DA">
        <w:tc>
          <w:tcPr>
            <w:tcW w:w="358" w:type="dxa"/>
            <w:shd w:val="clear" w:color="auto" w:fill="FFFFFF"/>
          </w:tcPr>
          <w:p w:rsidR="002C55F4" w:rsidRDefault="002C55F4">
            <w:pPr>
              <w:pStyle w:val="TableText"/>
              <w:spacing w:before="40" w:after="40"/>
              <w:rPr>
                <w:rFonts w:ascii="Times New Roman" w:hAnsi="Times New Roman"/>
                <w:color w:val="auto"/>
                <w:sz w:val="18"/>
                <w:szCs w:val="18"/>
              </w:rPr>
            </w:pPr>
          </w:p>
        </w:tc>
        <w:tc>
          <w:tcPr>
            <w:tcW w:w="446" w:type="dxa"/>
            <w:shd w:val="clear" w:color="auto" w:fill="FFFFFF"/>
          </w:tcPr>
          <w:p w:rsidR="002C55F4" w:rsidRDefault="002C55F4">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c)</w:t>
            </w:r>
          </w:p>
        </w:tc>
        <w:tc>
          <w:tcPr>
            <w:tcW w:w="8826" w:type="dxa"/>
            <w:shd w:val="clear" w:color="auto" w:fill="FFFFFF"/>
          </w:tcPr>
          <w:p w:rsidR="002C55F4" w:rsidRPr="00696526" w:rsidRDefault="002C55F4">
            <w:pPr>
              <w:pStyle w:val="Signature"/>
              <w:spacing w:before="40" w:after="40"/>
              <w:rPr>
                <w:sz w:val="18"/>
                <w:szCs w:val="18"/>
              </w:rPr>
            </w:pPr>
            <w:r w:rsidRPr="00696526">
              <w:rPr>
                <w:sz w:val="18"/>
                <w:szCs w:val="18"/>
              </w:rPr>
              <w:t>Develop standards as needed based on FERC Order No. 1000. (</w:t>
            </w:r>
            <w:hyperlink r:id="rId27" w:history="1">
              <w:r w:rsidRPr="00696526">
                <w:rPr>
                  <w:rStyle w:val="Hyperlink"/>
                  <w:sz w:val="18"/>
                  <w:szCs w:val="18"/>
                </w:rPr>
                <w:t>NAESB Analysis of FERC Order No. 1000</w:t>
              </w:r>
            </w:hyperlink>
            <w:r w:rsidRPr="00696526">
              <w:rPr>
                <w:sz w:val="18"/>
                <w:szCs w:val="18"/>
              </w:rPr>
              <w:t>)</w:t>
            </w:r>
          </w:p>
        </w:tc>
      </w:tr>
      <w:tr w:rsidR="002C55F4" w:rsidTr="00C148DA">
        <w:tc>
          <w:tcPr>
            <w:tcW w:w="358" w:type="dxa"/>
            <w:shd w:val="clear" w:color="auto" w:fill="FFFFFF"/>
          </w:tcPr>
          <w:p w:rsidR="002C55F4" w:rsidRDefault="002C55F4">
            <w:pPr>
              <w:pStyle w:val="TableText"/>
              <w:spacing w:before="40" w:after="40"/>
              <w:rPr>
                <w:rFonts w:ascii="Times New Roman" w:hAnsi="Times New Roman"/>
                <w:color w:val="auto"/>
                <w:sz w:val="18"/>
                <w:szCs w:val="18"/>
              </w:rPr>
            </w:pPr>
          </w:p>
        </w:tc>
        <w:tc>
          <w:tcPr>
            <w:tcW w:w="446" w:type="dxa"/>
            <w:shd w:val="clear" w:color="auto" w:fill="FFFFFF"/>
          </w:tcPr>
          <w:p w:rsidR="002C55F4" w:rsidRDefault="002C55F4">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d)</w:t>
            </w:r>
          </w:p>
        </w:tc>
        <w:tc>
          <w:tcPr>
            <w:tcW w:w="8826" w:type="dxa"/>
            <w:shd w:val="clear" w:color="auto" w:fill="FFFFFF"/>
          </w:tcPr>
          <w:p w:rsidR="002C55F4" w:rsidRPr="00696526" w:rsidRDefault="002C55F4">
            <w:pPr>
              <w:pStyle w:val="Signature"/>
              <w:spacing w:before="40" w:after="40"/>
              <w:rPr>
                <w:sz w:val="18"/>
                <w:szCs w:val="18"/>
              </w:rPr>
            </w:pPr>
            <w:r w:rsidRPr="00696526">
              <w:rPr>
                <w:sz w:val="18"/>
                <w:szCs w:val="18"/>
              </w:rPr>
              <w:t>Develop standards as needed in support of Variable Energy Resources (VERs) final order (RM10-11-000).  (</w:t>
            </w:r>
            <w:hyperlink r:id="rId28" w:history="1">
              <w:r w:rsidRPr="00696526">
                <w:rPr>
                  <w:rStyle w:val="Hyperlink"/>
                  <w:sz w:val="18"/>
                  <w:szCs w:val="18"/>
                </w:rPr>
                <w:t>NAESB Comments 3-2-11</w:t>
              </w:r>
            </w:hyperlink>
            <w:r w:rsidRPr="00696526">
              <w:rPr>
                <w:sz w:val="18"/>
                <w:szCs w:val="18"/>
              </w:rPr>
              <w:t xml:space="preserve">, </w:t>
            </w:r>
            <w:hyperlink r:id="rId29" w:history="1">
              <w:r w:rsidRPr="00696526">
                <w:rPr>
                  <w:rStyle w:val="Hyperlink"/>
                  <w:sz w:val="18"/>
                  <w:szCs w:val="18"/>
                </w:rPr>
                <w:t>FERC NOPR RM10-11-000</w:t>
              </w:r>
            </w:hyperlink>
            <w:r w:rsidRPr="00696526">
              <w:rPr>
                <w:rStyle w:val="Hyperlink"/>
                <w:color w:val="auto"/>
                <w:sz w:val="18"/>
                <w:szCs w:val="18"/>
                <w:u w:val="none"/>
              </w:rPr>
              <w:t xml:space="preserve">, </w:t>
            </w:r>
            <w:hyperlink r:id="rId30" w:history="1">
              <w:r w:rsidRPr="00696526">
                <w:rPr>
                  <w:rStyle w:val="Hyperlink"/>
                  <w:sz w:val="18"/>
                  <w:szCs w:val="18"/>
                </w:rPr>
                <w:t>FERC Final Order No. 764, Docket No. RM10-11-000</w:t>
              </w:r>
            </w:hyperlink>
            <w:r w:rsidRPr="00696526">
              <w:rPr>
                <w:rStyle w:val="FootnoteReference"/>
                <w:color w:val="0000FF"/>
                <w:sz w:val="18"/>
                <w:szCs w:val="18"/>
                <w:u w:val="single"/>
              </w:rPr>
              <w:footnoteReference w:id="12"/>
            </w:r>
            <w:r w:rsidRPr="00696526">
              <w:rPr>
                <w:sz w:val="18"/>
                <w:szCs w:val="18"/>
              </w:rPr>
              <w:t>)</w:t>
            </w:r>
          </w:p>
        </w:tc>
      </w:tr>
      <w:tr w:rsidR="0053609B" w:rsidTr="00C148DA">
        <w:tc>
          <w:tcPr>
            <w:tcW w:w="358" w:type="dxa"/>
            <w:shd w:val="clear" w:color="auto" w:fill="FFFFFF"/>
          </w:tcPr>
          <w:p w:rsidR="0053609B" w:rsidRDefault="0053609B">
            <w:pPr>
              <w:pStyle w:val="TableText"/>
              <w:spacing w:before="40" w:after="40"/>
              <w:rPr>
                <w:rFonts w:ascii="Times New Roman" w:hAnsi="Times New Roman"/>
                <w:color w:val="auto"/>
                <w:sz w:val="18"/>
                <w:szCs w:val="18"/>
              </w:rPr>
            </w:pPr>
          </w:p>
        </w:tc>
        <w:tc>
          <w:tcPr>
            <w:tcW w:w="446" w:type="dxa"/>
            <w:shd w:val="clear" w:color="auto" w:fill="FFFFFF"/>
          </w:tcPr>
          <w:p w:rsidR="0053609B" w:rsidRDefault="0034766A">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e</w:t>
            </w:r>
            <w:r w:rsidR="0053609B">
              <w:rPr>
                <w:rFonts w:ascii="Times New Roman" w:hAnsi="Times New Roman"/>
                <w:color w:val="auto"/>
                <w:sz w:val="18"/>
                <w:szCs w:val="18"/>
              </w:rPr>
              <w:t>)</w:t>
            </w:r>
          </w:p>
        </w:tc>
        <w:tc>
          <w:tcPr>
            <w:tcW w:w="8826" w:type="dxa"/>
            <w:shd w:val="clear" w:color="auto" w:fill="FFFFFF"/>
          </w:tcPr>
          <w:p w:rsidR="0053609B" w:rsidRDefault="0053609B">
            <w:pPr>
              <w:pStyle w:val="Signature"/>
              <w:spacing w:before="40" w:after="40"/>
              <w:rPr>
                <w:sz w:val="18"/>
                <w:szCs w:val="18"/>
              </w:rPr>
            </w:pPr>
            <w:r w:rsidRPr="0053609B">
              <w:rPr>
                <w:sz w:val="18"/>
                <w:szCs w:val="18"/>
              </w:rPr>
              <w:t xml:space="preserve">Develop and/or modify Demand Response Standards as needed in </w:t>
            </w:r>
            <w:r w:rsidR="009C517D">
              <w:rPr>
                <w:sz w:val="18"/>
                <w:szCs w:val="18"/>
              </w:rPr>
              <w:t xml:space="preserve">response to the Supreme Court decisions regarding the </w:t>
            </w:r>
            <w:r w:rsidRPr="0053609B">
              <w:rPr>
                <w:sz w:val="18"/>
                <w:szCs w:val="18"/>
              </w:rPr>
              <w:t xml:space="preserve">final D.C. Circuit ruling on FERC Order </w:t>
            </w:r>
            <w:r w:rsidR="00FA4689">
              <w:rPr>
                <w:sz w:val="18"/>
                <w:szCs w:val="18"/>
              </w:rPr>
              <w:t xml:space="preserve">No. </w:t>
            </w:r>
            <w:r w:rsidRPr="0053609B">
              <w:rPr>
                <w:sz w:val="18"/>
                <w:szCs w:val="18"/>
              </w:rPr>
              <w:t>745</w:t>
            </w:r>
          </w:p>
        </w:tc>
      </w:tr>
    </w:tbl>
    <w:p w:rsidR="002C55F4" w:rsidRDefault="002C55F4">
      <w:pPr>
        <w:pStyle w:val="BodyText"/>
        <w:keepNext/>
        <w:keepLines/>
        <w:spacing w:before="120" w:after="240"/>
        <w:jc w:val="center"/>
        <w:rPr>
          <w:b/>
          <w:smallCaps/>
        </w:rPr>
      </w:pPr>
      <w:r>
        <w:rPr>
          <w:b/>
          <w:smallCaps/>
        </w:rPr>
        <w:lastRenderedPageBreak/>
        <w:t>Wholesale Electric Quadrant Executive committee and Subcommittee Structure</w:t>
      </w:r>
    </w:p>
    <w:p w:rsidR="002C55F4" w:rsidRDefault="008561DE">
      <w:pPr>
        <w:pStyle w:val="BodyText"/>
        <w:jc w:val="both"/>
        <w:rPr>
          <w:b/>
          <w:sz w:val="18"/>
          <w:szCs w:val="18"/>
        </w:rPr>
      </w:pPr>
      <w:r>
        <w:rPr>
          <w:b/>
          <w:noProof/>
          <w:sz w:val="18"/>
          <w:szCs w:val="18"/>
        </w:rPr>
        <mc:AlternateContent>
          <mc:Choice Requires="wpc">
            <w:drawing>
              <wp:inline distT="0" distB="0" distL="0" distR="0" wp14:anchorId="2FAD83F7" wp14:editId="2EAC67AF">
                <wp:extent cx="5943600" cy="5372100"/>
                <wp:effectExtent l="0" t="0" r="0" b="0"/>
                <wp:docPr id="31" name="Canvas 25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 name="AutoShape 257"/>
                        <wps:cNvSpPr>
                          <a:spLocks noChangeAspect="1" noChangeArrowheads="1"/>
                        </wps:cNvSpPr>
                        <wps:spPr bwMode="auto">
                          <a:xfrm>
                            <a:off x="0" y="228600"/>
                            <a:ext cx="5943600" cy="420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AutoShape 258"/>
                        <wps:cNvSpPr>
                          <a:spLocks noChangeAspect="1" noChangeArrowheads="1"/>
                        </wps:cNvSpPr>
                        <wps:spPr bwMode="auto">
                          <a:xfrm>
                            <a:off x="914400" y="0"/>
                            <a:ext cx="4502100" cy="402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AutoShape 259"/>
                        <wps:cNvSpPr>
                          <a:spLocks noChangeArrowheads="1"/>
                        </wps:cNvSpPr>
                        <wps:spPr bwMode="auto">
                          <a:xfrm>
                            <a:off x="894000" y="22800"/>
                            <a:ext cx="2281000" cy="323200"/>
                          </a:xfrm>
                          <a:prstGeom prst="roundRect">
                            <a:avLst>
                              <a:gd name="adj" fmla="val 16667"/>
                            </a:avLst>
                          </a:prstGeom>
                          <a:solidFill>
                            <a:srgbClr val="A7AFD5"/>
                          </a:solidFill>
                          <a:ln w="15875">
                            <a:solidFill>
                              <a:srgbClr val="000000"/>
                            </a:solidFill>
                            <a:round/>
                            <a:headEnd/>
                            <a:tailEnd/>
                          </a:ln>
                        </wps:spPr>
                        <wps:txbx>
                          <w:txbxContent>
                            <w:p w:rsidR="00BA4B71" w:rsidRPr="00401297" w:rsidRDefault="00BA4B71" w:rsidP="00C7062B">
                              <w:pPr>
                                <w:autoSpaceDE w:val="0"/>
                                <w:autoSpaceDN w:val="0"/>
                                <w:adjustRightInd w:val="0"/>
                                <w:jc w:val="center"/>
                                <w:rPr>
                                  <w:i/>
                                  <w:color w:val="000000"/>
                                  <w:sz w:val="18"/>
                                  <w:szCs w:val="18"/>
                                  <w:vertAlign w:val="superscript"/>
                                </w:rPr>
                              </w:pPr>
                              <w:r>
                                <w:rPr>
                                  <w:color w:val="000000"/>
                                  <w:sz w:val="18"/>
                                  <w:szCs w:val="18"/>
                                </w:rPr>
                                <w:t>Wholesale Electric Quadrant</w:t>
                              </w:r>
                            </w:p>
                            <w:p w:rsidR="00BA4B71" w:rsidRDefault="00BA4B71" w:rsidP="00C7062B">
                              <w:pPr>
                                <w:autoSpaceDE w:val="0"/>
                                <w:autoSpaceDN w:val="0"/>
                                <w:adjustRightInd w:val="0"/>
                                <w:jc w:val="center"/>
                                <w:rPr>
                                  <w:rFonts w:ascii="Arial" w:cs="Arial"/>
                                  <w:color w:val="000000"/>
                                  <w:sz w:val="36"/>
                                  <w:szCs w:val="36"/>
                                </w:rPr>
                              </w:pPr>
                              <w:r>
                                <w:rPr>
                                  <w:color w:val="000000"/>
                                  <w:sz w:val="18"/>
                                  <w:szCs w:val="18"/>
                                </w:rPr>
                                <w:t>Executive Committee (WEQ EC)</w:t>
                              </w:r>
                            </w:p>
                          </w:txbxContent>
                        </wps:txbx>
                        <wps:bodyPr rot="0" vert="horz" wrap="square" lIns="0" tIns="0" rIns="0" bIns="0" anchor="ctr" anchorCtr="0" upright="1">
                          <a:noAutofit/>
                        </wps:bodyPr>
                      </wps:wsp>
                      <wps:wsp>
                        <wps:cNvPr id="8" name="AutoShape 260"/>
                        <wps:cNvSpPr>
                          <a:spLocks noChangeArrowheads="1"/>
                        </wps:cNvSpPr>
                        <wps:spPr bwMode="auto">
                          <a:xfrm>
                            <a:off x="2402200" y="508000"/>
                            <a:ext cx="3014300" cy="321900"/>
                          </a:xfrm>
                          <a:prstGeom prst="roundRect">
                            <a:avLst>
                              <a:gd name="adj" fmla="val 16667"/>
                            </a:avLst>
                          </a:prstGeom>
                          <a:solidFill>
                            <a:srgbClr val="E9EDB1"/>
                          </a:solidFill>
                          <a:ln w="15875">
                            <a:solidFill>
                              <a:srgbClr val="000000"/>
                            </a:solidFill>
                            <a:round/>
                            <a:headEnd/>
                            <a:tailEnd/>
                          </a:ln>
                        </wps:spPr>
                        <wps:txbx>
                          <w:txbxContent>
                            <w:p w:rsidR="00BA4B71" w:rsidRDefault="00BA4B71" w:rsidP="00C7062B">
                              <w:pPr>
                                <w:autoSpaceDE w:val="0"/>
                                <w:autoSpaceDN w:val="0"/>
                                <w:adjustRightInd w:val="0"/>
                                <w:jc w:val="center"/>
                                <w:rPr>
                                  <w:color w:val="000000"/>
                                  <w:sz w:val="8"/>
                                  <w:szCs w:val="8"/>
                                </w:rPr>
                              </w:pPr>
                            </w:p>
                            <w:p w:rsidR="00BA4B71" w:rsidRDefault="00BA4B71" w:rsidP="00C7062B">
                              <w:pPr>
                                <w:autoSpaceDE w:val="0"/>
                                <w:autoSpaceDN w:val="0"/>
                                <w:adjustRightInd w:val="0"/>
                                <w:jc w:val="center"/>
                                <w:rPr>
                                  <w:rFonts w:ascii="Arial" w:cs="Arial"/>
                                  <w:color w:val="000000"/>
                                  <w:sz w:val="36"/>
                                  <w:szCs w:val="36"/>
                                </w:rPr>
                              </w:pPr>
                              <w:r>
                                <w:rPr>
                                  <w:color w:val="000000"/>
                                  <w:sz w:val="18"/>
                                  <w:szCs w:val="18"/>
                                </w:rPr>
                                <w:t>Standards Review Subcommittee (SRS)</w:t>
                              </w:r>
                            </w:p>
                          </w:txbxContent>
                        </wps:txbx>
                        <wps:bodyPr rot="0" vert="horz" wrap="square" lIns="0" tIns="0" rIns="0" bIns="0" anchor="ctr" anchorCtr="0" upright="1">
                          <a:noAutofit/>
                        </wps:bodyPr>
                      </wps:wsp>
                      <wps:wsp>
                        <wps:cNvPr id="9" name="AutoShape 261"/>
                        <wps:cNvSpPr>
                          <a:spLocks noChangeArrowheads="1"/>
                        </wps:cNvSpPr>
                        <wps:spPr bwMode="auto">
                          <a:xfrm>
                            <a:off x="2420600" y="1012100"/>
                            <a:ext cx="3073100" cy="322000"/>
                          </a:xfrm>
                          <a:prstGeom prst="roundRect">
                            <a:avLst>
                              <a:gd name="adj" fmla="val 16667"/>
                            </a:avLst>
                          </a:prstGeom>
                          <a:solidFill>
                            <a:srgbClr val="CCECFF"/>
                          </a:solidFill>
                          <a:ln w="15875">
                            <a:solidFill>
                              <a:srgbClr val="000000"/>
                            </a:solidFill>
                            <a:round/>
                            <a:headEnd/>
                            <a:tailEnd/>
                          </a:ln>
                        </wps:spPr>
                        <wps:txbx>
                          <w:txbxContent>
                            <w:p w:rsidR="00BA4B71" w:rsidRDefault="00BA4B71" w:rsidP="00C7062B">
                              <w:pPr>
                                <w:autoSpaceDE w:val="0"/>
                                <w:autoSpaceDN w:val="0"/>
                                <w:adjustRightInd w:val="0"/>
                                <w:jc w:val="center"/>
                                <w:rPr>
                                  <w:color w:val="000000"/>
                                  <w:sz w:val="8"/>
                                  <w:szCs w:val="8"/>
                                </w:rPr>
                              </w:pPr>
                            </w:p>
                            <w:p w:rsidR="00BA4B71" w:rsidRDefault="00BA4B71" w:rsidP="00C7062B">
                              <w:pPr>
                                <w:autoSpaceDE w:val="0"/>
                                <w:autoSpaceDN w:val="0"/>
                                <w:adjustRightInd w:val="0"/>
                                <w:jc w:val="center"/>
                                <w:rPr>
                                  <w:rFonts w:ascii="Arial" w:cs="Arial"/>
                                  <w:color w:val="000000"/>
                                  <w:sz w:val="36"/>
                                  <w:szCs w:val="36"/>
                                </w:rPr>
                              </w:pPr>
                              <w:r>
                                <w:rPr>
                                  <w:color w:val="000000"/>
                                  <w:sz w:val="18"/>
                                  <w:szCs w:val="18"/>
                                </w:rPr>
                                <w:t>Interpretations Subcommittee</w:t>
                              </w:r>
                            </w:p>
                          </w:txbxContent>
                        </wps:txbx>
                        <wps:bodyPr rot="0" vert="horz" wrap="square" lIns="0" tIns="0" rIns="0" bIns="0" anchor="ctr" anchorCtr="0" upright="1">
                          <a:noAutofit/>
                        </wps:bodyPr>
                      </wps:wsp>
                      <wps:wsp>
                        <wps:cNvPr id="10" name="AutoShape 262"/>
                        <wps:cNvSpPr>
                          <a:spLocks noChangeArrowheads="1"/>
                        </wps:cNvSpPr>
                        <wps:spPr bwMode="auto">
                          <a:xfrm>
                            <a:off x="2406600" y="2007200"/>
                            <a:ext cx="3087100" cy="316900"/>
                          </a:xfrm>
                          <a:prstGeom prst="roundRect">
                            <a:avLst>
                              <a:gd name="adj" fmla="val 16667"/>
                            </a:avLst>
                          </a:prstGeom>
                          <a:solidFill>
                            <a:srgbClr val="CCECFF"/>
                          </a:solidFill>
                          <a:ln w="15875">
                            <a:solidFill>
                              <a:srgbClr val="000000"/>
                            </a:solidFill>
                            <a:round/>
                            <a:headEnd/>
                            <a:tailEnd/>
                          </a:ln>
                        </wps:spPr>
                        <wps:txbx>
                          <w:txbxContent>
                            <w:p w:rsidR="00BA4B71" w:rsidRPr="007A50B3" w:rsidRDefault="00BA4B71" w:rsidP="00C7062B">
                              <w:pPr>
                                <w:autoSpaceDE w:val="0"/>
                                <w:autoSpaceDN w:val="0"/>
                                <w:adjustRightInd w:val="0"/>
                                <w:spacing w:before="60"/>
                                <w:jc w:val="center"/>
                                <w:rPr>
                                  <w:color w:val="000000"/>
                                  <w:sz w:val="18"/>
                                  <w:szCs w:val="18"/>
                                </w:rPr>
                              </w:pPr>
                              <w:r>
                                <w:rPr>
                                  <w:color w:val="000000"/>
                                  <w:sz w:val="18"/>
                                  <w:szCs w:val="18"/>
                                </w:rPr>
                                <w:t>OASIS Subcommittee</w:t>
                              </w:r>
                            </w:p>
                          </w:txbxContent>
                        </wps:txbx>
                        <wps:bodyPr rot="0" vert="horz" wrap="square" lIns="0" tIns="0" rIns="0" bIns="0" anchor="ctr" anchorCtr="0" upright="1">
                          <a:noAutofit/>
                        </wps:bodyPr>
                      </wps:wsp>
                      <wps:wsp>
                        <wps:cNvPr id="11" name="AutoShape 263"/>
                        <wps:cNvSpPr>
                          <a:spLocks noChangeArrowheads="1"/>
                        </wps:cNvSpPr>
                        <wps:spPr bwMode="auto">
                          <a:xfrm>
                            <a:off x="2400200" y="2508200"/>
                            <a:ext cx="3093500" cy="321900"/>
                          </a:xfrm>
                          <a:prstGeom prst="roundRect">
                            <a:avLst>
                              <a:gd name="adj" fmla="val 16667"/>
                            </a:avLst>
                          </a:prstGeom>
                          <a:solidFill>
                            <a:srgbClr val="CCECFF"/>
                          </a:solidFill>
                          <a:ln w="15875">
                            <a:solidFill>
                              <a:srgbClr val="000000"/>
                            </a:solidFill>
                            <a:round/>
                            <a:headEnd/>
                            <a:tailEnd/>
                          </a:ln>
                        </wps:spPr>
                        <wps:txbx>
                          <w:txbxContent>
                            <w:p w:rsidR="00BA4B71" w:rsidRDefault="00BA4B71" w:rsidP="00C7062B">
                              <w:pPr>
                                <w:autoSpaceDE w:val="0"/>
                                <w:autoSpaceDN w:val="0"/>
                                <w:adjustRightInd w:val="0"/>
                                <w:spacing w:before="100"/>
                                <w:jc w:val="center"/>
                                <w:rPr>
                                  <w:rFonts w:ascii="Arial" w:cs="Arial"/>
                                  <w:color w:val="000000"/>
                                  <w:sz w:val="36"/>
                                  <w:szCs w:val="36"/>
                                </w:rPr>
                              </w:pPr>
                              <w:r>
                                <w:rPr>
                                  <w:color w:val="000000"/>
                                  <w:sz w:val="18"/>
                                  <w:szCs w:val="18"/>
                                </w:rPr>
                                <w:t>Coordinate Interchange Scheduling Subcommittee (CISS)</w:t>
                              </w:r>
                            </w:p>
                          </w:txbxContent>
                        </wps:txbx>
                        <wps:bodyPr rot="0" vert="horz" wrap="square" lIns="0" tIns="0" rIns="0" bIns="0" anchor="ctr" anchorCtr="0" upright="1">
                          <a:noAutofit/>
                        </wps:bodyPr>
                      </wps:wsp>
                      <wps:wsp>
                        <wps:cNvPr id="12" name="AutoShape 264"/>
                        <wps:cNvSpPr>
                          <a:spLocks noChangeArrowheads="1"/>
                        </wps:cNvSpPr>
                        <wps:spPr bwMode="auto">
                          <a:xfrm>
                            <a:off x="1005200" y="392400"/>
                            <a:ext cx="936600" cy="619700"/>
                          </a:xfrm>
                          <a:prstGeom prst="rightArrow">
                            <a:avLst>
                              <a:gd name="adj1" fmla="val 50000"/>
                              <a:gd name="adj2" fmla="val 44865"/>
                            </a:avLst>
                          </a:prstGeom>
                          <a:solidFill>
                            <a:srgbClr val="E9EDB1"/>
                          </a:solidFill>
                          <a:ln w="9525">
                            <a:solidFill>
                              <a:srgbClr val="000000"/>
                            </a:solidFill>
                            <a:miter lim="800000"/>
                            <a:headEnd/>
                            <a:tailEnd/>
                          </a:ln>
                        </wps:spPr>
                        <wps:txbx>
                          <w:txbxContent>
                            <w:p w:rsidR="00BA4B71" w:rsidRPr="00A0124C" w:rsidRDefault="00BA4B71" w:rsidP="00A0124C">
                              <w:pPr>
                                <w:autoSpaceDE w:val="0"/>
                                <w:autoSpaceDN w:val="0"/>
                                <w:adjustRightInd w:val="0"/>
                                <w:jc w:val="center"/>
                                <w:rPr>
                                  <w:rFonts w:ascii="Arial" w:cs="Arial"/>
                                  <w:color w:val="000000"/>
                                  <w:sz w:val="18"/>
                                  <w:szCs w:val="18"/>
                                </w:rPr>
                              </w:pPr>
                              <w:r w:rsidRPr="00A0124C">
                                <w:rPr>
                                  <w:color w:val="000000"/>
                                  <w:sz w:val="18"/>
                                  <w:szCs w:val="18"/>
                                </w:rPr>
                                <w:t>Scoping</w:t>
                              </w:r>
                            </w:p>
                          </w:txbxContent>
                        </wps:txbx>
                        <wps:bodyPr rot="0" vert="horz" wrap="square" lIns="59070" tIns="29535" rIns="59070" bIns="29535" anchor="ctr" anchorCtr="0" upright="1">
                          <a:noAutofit/>
                        </wps:bodyPr>
                      </wps:wsp>
                      <wps:wsp>
                        <wps:cNvPr id="13" name="AutoShape 265"/>
                        <wps:cNvSpPr>
                          <a:spLocks/>
                        </wps:cNvSpPr>
                        <wps:spPr bwMode="auto">
                          <a:xfrm>
                            <a:off x="1714500" y="1257300"/>
                            <a:ext cx="276800" cy="3086100"/>
                          </a:xfrm>
                          <a:prstGeom prst="rightBrace">
                            <a:avLst>
                              <a:gd name="adj1" fmla="val 92910"/>
                              <a:gd name="adj2" fmla="val 50000"/>
                            </a:avLst>
                          </a:prstGeom>
                          <a:noFill/>
                          <a:ln w="76200">
                            <a:solidFill>
                              <a:srgbClr val="009999"/>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5" name="AutoShape 267"/>
                        <wps:cNvSpPr>
                          <a:spLocks noChangeArrowheads="1"/>
                        </wps:cNvSpPr>
                        <wps:spPr bwMode="auto">
                          <a:xfrm>
                            <a:off x="228600" y="2057400"/>
                            <a:ext cx="1384300" cy="924500"/>
                          </a:xfrm>
                          <a:prstGeom prst="rightArrow">
                            <a:avLst>
                              <a:gd name="adj1" fmla="val 50000"/>
                              <a:gd name="adj2" fmla="val 37434"/>
                            </a:avLst>
                          </a:prstGeom>
                          <a:solidFill>
                            <a:srgbClr val="CCECFF"/>
                          </a:solidFill>
                          <a:ln w="9525">
                            <a:solidFill>
                              <a:srgbClr val="000000"/>
                            </a:solidFill>
                            <a:miter lim="800000"/>
                            <a:headEnd/>
                            <a:tailEnd/>
                          </a:ln>
                        </wps:spPr>
                        <wps:txbx>
                          <w:txbxContent>
                            <w:p w:rsidR="00BA4B71" w:rsidRDefault="00BA4B71" w:rsidP="00A0124C">
                              <w:pPr>
                                <w:autoSpaceDE w:val="0"/>
                                <w:autoSpaceDN w:val="0"/>
                                <w:adjustRightInd w:val="0"/>
                                <w:jc w:val="center"/>
                                <w:rPr>
                                  <w:rFonts w:ascii="Arial" w:cs="Arial"/>
                                  <w:color w:val="000000"/>
                                  <w:sz w:val="36"/>
                                  <w:szCs w:val="36"/>
                                </w:rPr>
                              </w:pPr>
                              <w:r>
                                <w:rPr>
                                  <w:color w:val="000000"/>
                                  <w:sz w:val="18"/>
                                  <w:szCs w:val="18"/>
                                </w:rPr>
                                <w:t>Development</w:t>
                              </w:r>
                            </w:p>
                          </w:txbxContent>
                        </wps:txbx>
                        <wps:bodyPr rot="0" vert="horz" wrap="square" lIns="59070" tIns="29535" rIns="59070" bIns="29535" anchor="ctr" anchorCtr="0" upright="1">
                          <a:noAutofit/>
                        </wps:bodyPr>
                      </wps:wsp>
                      <wps:wsp>
                        <wps:cNvPr id="16" name="AutoShape 268"/>
                        <wps:cNvSpPr>
                          <a:spLocks noChangeArrowheads="1"/>
                        </wps:cNvSpPr>
                        <wps:spPr bwMode="auto">
                          <a:xfrm>
                            <a:off x="2381200" y="3041600"/>
                            <a:ext cx="3149000" cy="321900"/>
                          </a:xfrm>
                          <a:prstGeom prst="roundRect">
                            <a:avLst>
                              <a:gd name="adj" fmla="val 16667"/>
                            </a:avLst>
                          </a:prstGeom>
                          <a:solidFill>
                            <a:srgbClr val="CCECFF"/>
                          </a:solidFill>
                          <a:ln w="15875">
                            <a:solidFill>
                              <a:srgbClr val="000000"/>
                            </a:solidFill>
                            <a:round/>
                            <a:headEnd/>
                            <a:tailEnd/>
                          </a:ln>
                        </wps:spPr>
                        <wps:txbx>
                          <w:txbxContent>
                            <w:p w:rsidR="00BA4B71" w:rsidRDefault="00BA4B71" w:rsidP="00C7062B">
                              <w:pPr>
                                <w:autoSpaceDE w:val="0"/>
                                <w:autoSpaceDN w:val="0"/>
                                <w:adjustRightInd w:val="0"/>
                                <w:jc w:val="center"/>
                                <w:rPr>
                                  <w:color w:val="000000"/>
                                  <w:sz w:val="8"/>
                                  <w:szCs w:val="8"/>
                                </w:rPr>
                              </w:pPr>
                            </w:p>
                            <w:p w:rsidR="00BA4B71" w:rsidRDefault="00BA4B71" w:rsidP="00C7062B">
                              <w:pPr>
                                <w:autoSpaceDE w:val="0"/>
                                <w:autoSpaceDN w:val="0"/>
                                <w:adjustRightInd w:val="0"/>
                                <w:jc w:val="center"/>
                                <w:rPr>
                                  <w:rFonts w:ascii="Arial" w:cs="Arial"/>
                                  <w:color w:val="000000"/>
                                  <w:sz w:val="36"/>
                                  <w:szCs w:val="36"/>
                                </w:rPr>
                              </w:pPr>
                              <w:r>
                                <w:rPr>
                                  <w:color w:val="000000"/>
                                  <w:sz w:val="18"/>
                                  <w:szCs w:val="18"/>
                                </w:rPr>
                                <w:t>Cybersecurity Subcommittee</w:t>
                              </w:r>
                            </w:p>
                          </w:txbxContent>
                        </wps:txbx>
                        <wps:bodyPr rot="0" vert="horz" wrap="square" lIns="0" tIns="0" rIns="0" bIns="0" anchor="ctr" anchorCtr="0" upright="1">
                          <a:noAutofit/>
                        </wps:bodyPr>
                      </wps:wsp>
                      <wps:wsp>
                        <wps:cNvPr id="17" name="AutoShape 269"/>
                        <wps:cNvSpPr>
                          <a:spLocks noChangeArrowheads="1"/>
                        </wps:cNvSpPr>
                        <wps:spPr bwMode="auto">
                          <a:xfrm>
                            <a:off x="2420600" y="4457700"/>
                            <a:ext cx="3109600" cy="321900"/>
                          </a:xfrm>
                          <a:prstGeom prst="roundRect">
                            <a:avLst>
                              <a:gd name="adj" fmla="val 16667"/>
                            </a:avLst>
                          </a:prstGeom>
                          <a:solidFill>
                            <a:srgbClr val="CCECFF"/>
                          </a:solidFill>
                          <a:ln w="15875">
                            <a:solidFill>
                              <a:srgbClr val="000000"/>
                            </a:solidFill>
                            <a:round/>
                            <a:headEnd/>
                            <a:tailEnd/>
                          </a:ln>
                        </wps:spPr>
                        <wps:txbx>
                          <w:txbxContent>
                            <w:p w:rsidR="00BA4B71" w:rsidRDefault="00BA4B71" w:rsidP="00C7062B">
                              <w:pPr>
                                <w:autoSpaceDE w:val="0"/>
                                <w:autoSpaceDN w:val="0"/>
                                <w:adjustRightInd w:val="0"/>
                                <w:jc w:val="center"/>
                                <w:rPr>
                                  <w:color w:val="000000"/>
                                  <w:sz w:val="8"/>
                                  <w:szCs w:val="8"/>
                                </w:rPr>
                              </w:pPr>
                            </w:p>
                            <w:p w:rsidR="00BA4B71" w:rsidRDefault="00BA4B71" w:rsidP="00C7062B">
                              <w:pPr>
                                <w:autoSpaceDE w:val="0"/>
                                <w:autoSpaceDN w:val="0"/>
                                <w:adjustRightInd w:val="0"/>
                                <w:jc w:val="center"/>
                                <w:rPr>
                                  <w:rFonts w:ascii="Arial" w:cs="Arial"/>
                                  <w:color w:val="000000"/>
                                  <w:sz w:val="36"/>
                                  <w:szCs w:val="36"/>
                                </w:rPr>
                              </w:pPr>
                              <w:r>
                                <w:rPr>
                                  <w:color w:val="000000"/>
                                  <w:sz w:val="18"/>
                                  <w:szCs w:val="18"/>
                                </w:rPr>
                                <w:t>RMQ/WEQ DSM-EE Subcommittee</w:t>
                              </w:r>
                            </w:p>
                          </w:txbxContent>
                        </wps:txbx>
                        <wps:bodyPr rot="0" vert="horz" wrap="square" lIns="0" tIns="0" rIns="0" bIns="0" anchor="ctr" anchorCtr="0" upright="1">
                          <a:noAutofit/>
                        </wps:bodyPr>
                      </wps:wsp>
                      <wps:wsp>
                        <wps:cNvPr id="18" name="Line 271"/>
                        <wps:cNvCnPr/>
                        <wps:spPr bwMode="auto">
                          <a:xfrm flipH="1">
                            <a:off x="2057400" y="3200400"/>
                            <a:ext cx="333300" cy="1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9" name="Line 272"/>
                        <wps:cNvCnPr/>
                        <wps:spPr bwMode="auto">
                          <a:xfrm flipH="1">
                            <a:off x="2057400" y="2673300"/>
                            <a:ext cx="352400" cy="6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0" name="Line 273"/>
                        <wps:cNvCnPr/>
                        <wps:spPr bwMode="auto">
                          <a:xfrm flipH="1">
                            <a:off x="2057400" y="2152600"/>
                            <a:ext cx="352400" cy="1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1" name="Line 275"/>
                        <wps:cNvCnPr/>
                        <wps:spPr bwMode="auto">
                          <a:xfrm flipH="1">
                            <a:off x="2057400" y="1661700"/>
                            <a:ext cx="381000" cy="7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276"/>
                        <wps:cNvSpPr>
                          <a:spLocks noChangeArrowheads="1"/>
                        </wps:cNvSpPr>
                        <wps:spPr bwMode="auto">
                          <a:xfrm>
                            <a:off x="2404700" y="1490900"/>
                            <a:ext cx="3089000" cy="322000"/>
                          </a:xfrm>
                          <a:prstGeom prst="roundRect">
                            <a:avLst>
                              <a:gd name="adj" fmla="val 16667"/>
                            </a:avLst>
                          </a:prstGeom>
                          <a:solidFill>
                            <a:srgbClr val="CCECFF"/>
                          </a:solidFill>
                          <a:ln w="15875">
                            <a:solidFill>
                              <a:srgbClr val="000000"/>
                            </a:solidFill>
                            <a:round/>
                            <a:headEnd/>
                            <a:tailEnd/>
                          </a:ln>
                        </wps:spPr>
                        <wps:txbx>
                          <w:txbxContent>
                            <w:p w:rsidR="00BA4B71" w:rsidRDefault="00BA4B71" w:rsidP="00C7062B">
                              <w:pPr>
                                <w:autoSpaceDE w:val="0"/>
                                <w:autoSpaceDN w:val="0"/>
                                <w:adjustRightInd w:val="0"/>
                                <w:jc w:val="center"/>
                                <w:rPr>
                                  <w:color w:val="000000"/>
                                  <w:sz w:val="8"/>
                                  <w:szCs w:val="8"/>
                                </w:rPr>
                              </w:pPr>
                            </w:p>
                            <w:p w:rsidR="00BA4B71" w:rsidRDefault="00BA4B71" w:rsidP="00C7062B">
                              <w:pPr>
                                <w:autoSpaceDE w:val="0"/>
                                <w:autoSpaceDN w:val="0"/>
                                <w:adjustRightInd w:val="0"/>
                                <w:jc w:val="center"/>
                                <w:rPr>
                                  <w:rFonts w:ascii="Arial" w:cs="Arial"/>
                                  <w:color w:val="000000"/>
                                  <w:sz w:val="36"/>
                                  <w:szCs w:val="36"/>
                                </w:rPr>
                              </w:pPr>
                              <w:r>
                                <w:rPr>
                                  <w:color w:val="000000"/>
                                  <w:sz w:val="18"/>
                                  <w:szCs w:val="18"/>
                                </w:rPr>
                                <w:t>Business Practices Subcommittee (BPS)</w:t>
                              </w:r>
                            </w:p>
                          </w:txbxContent>
                        </wps:txbx>
                        <wps:bodyPr rot="0" vert="horz" wrap="square" lIns="0" tIns="0" rIns="0" bIns="0" anchor="ctr" anchorCtr="0" upright="1">
                          <a:noAutofit/>
                        </wps:bodyPr>
                      </wps:wsp>
                      <wps:wsp>
                        <wps:cNvPr id="23" name="Line 277"/>
                        <wps:cNvCnPr/>
                        <wps:spPr bwMode="auto">
                          <a:xfrm flipH="1">
                            <a:off x="2061800" y="1191800"/>
                            <a:ext cx="37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278"/>
                        <wps:cNvSpPr>
                          <a:spLocks noChangeArrowheads="1"/>
                        </wps:cNvSpPr>
                        <wps:spPr bwMode="auto">
                          <a:xfrm>
                            <a:off x="2400300" y="3543300"/>
                            <a:ext cx="3129900" cy="321900"/>
                          </a:xfrm>
                          <a:prstGeom prst="roundRect">
                            <a:avLst>
                              <a:gd name="adj" fmla="val 16667"/>
                            </a:avLst>
                          </a:prstGeom>
                          <a:solidFill>
                            <a:srgbClr val="33CCCC">
                              <a:alpha val="23137"/>
                            </a:srgbClr>
                          </a:solidFill>
                          <a:ln w="15875" cap="rnd">
                            <a:solidFill>
                              <a:srgbClr val="000000"/>
                            </a:solidFill>
                            <a:prstDash val="sysDot"/>
                            <a:round/>
                            <a:headEnd/>
                            <a:tailEnd/>
                          </a:ln>
                        </wps:spPr>
                        <wps:txbx>
                          <w:txbxContent>
                            <w:p w:rsidR="00BA4B71" w:rsidRDefault="00BA4B71" w:rsidP="00C7062B">
                              <w:pPr>
                                <w:autoSpaceDE w:val="0"/>
                                <w:autoSpaceDN w:val="0"/>
                                <w:adjustRightInd w:val="0"/>
                                <w:jc w:val="center"/>
                                <w:rPr>
                                  <w:color w:val="000000"/>
                                  <w:sz w:val="8"/>
                                  <w:szCs w:val="8"/>
                                </w:rPr>
                              </w:pPr>
                            </w:p>
                            <w:p w:rsidR="00BA4B71" w:rsidRPr="00DC57C9" w:rsidRDefault="00BA4B71" w:rsidP="00C7062B">
                              <w:pPr>
                                <w:autoSpaceDE w:val="0"/>
                                <w:autoSpaceDN w:val="0"/>
                                <w:adjustRightInd w:val="0"/>
                                <w:jc w:val="center"/>
                                <w:rPr>
                                  <w:rFonts w:ascii="Arial" w:cs="Arial"/>
                                </w:rPr>
                              </w:pPr>
                              <w:r>
                                <w:rPr>
                                  <w:color w:val="000000"/>
                                  <w:sz w:val="18"/>
                                  <w:szCs w:val="18"/>
                                </w:rPr>
                                <w:t xml:space="preserve">WEQ/RMQ </w:t>
                              </w:r>
                              <w:r w:rsidRPr="00985642">
                                <w:rPr>
                                  <w:color w:val="000000"/>
                                  <w:sz w:val="18"/>
                                  <w:szCs w:val="18"/>
                                </w:rPr>
                                <w:t xml:space="preserve">Smart Grid Standards </w:t>
                              </w:r>
                              <w:r>
                                <w:rPr>
                                  <w:color w:val="000000"/>
                                  <w:sz w:val="18"/>
                                  <w:szCs w:val="18"/>
                                </w:rPr>
                                <w:t>Subcommittee</w:t>
                              </w:r>
                              <w:r w:rsidRPr="00985642">
                                <w:rPr>
                                  <w:color w:val="000000"/>
                                  <w:sz w:val="18"/>
                                  <w:szCs w:val="18"/>
                                </w:rPr>
                                <w:t xml:space="preserve"> (**)</w:t>
                              </w:r>
                            </w:p>
                          </w:txbxContent>
                        </wps:txbx>
                        <wps:bodyPr rot="0" vert="horz" wrap="square" lIns="0" tIns="0" rIns="0" bIns="0" anchor="ctr" anchorCtr="0" upright="1">
                          <a:noAutofit/>
                        </wps:bodyPr>
                      </wps:wsp>
                      <wps:wsp>
                        <wps:cNvPr id="25" name="Line 279"/>
                        <wps:cNvCnPr/>
                        <wps:spPr bwMode="auto">
                          <a:xfrm flipH="1">
                            <a:off x="2057400" y="3658800"/>
                            <a:ext cx="333300" cy="1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280"/>
                        <wps:cNvSpPr>
                          <a:spLocks noChangeArrowheads="1"/>
                        </wps:cNvSpPr>
                        <wps:spPr bwMode="auto">
                          <a:xfrm>
                            <a:off x="2400300" y="4000500"/>
                            <a:ext cx="3129900" cy="321900"/>
                          </a:xfrm>
                          <a:prstGeom prst="roundRect">
                            <a:avLst>
                              <a:gd name="adj" fmla="val 16667"/>
                            </a:avLst>
                          </a:prstGeom>
                          <a:solidFill>
                            <a:srgbClr val="33CCCC">
                              <a:alpha val="23137"/>
                            </a:srgbClr>
                          </a:solidFill>
                          <a:ln w="15875" cap="rnd">
                            <a:solidFill>
                              <a:srgbClr val="000000"/>
                            </a:solidFill>
                            <a:prstDash val="sysDot"/>
                            <a:round/>
                            <a:headEnd/>
                            <a:tailEnd/>
                          </a:ln>
                        </wps:spPr>
                        <wps:txbx>
                          <w:txbxContent>
                            <w:p w:rsidR="00BA4B71" w:rsidRPr="00C7062B" w:rsidRDefault="00BA4B71" w:rsidP="00C7062B">
                              <w:pPr>
                                <w:autoSpaceDE w:val="0"/>
                                <w:autoSpaceDN w:val="0"/>
                                <w:adjustRightInd w:val="0"/>
                                <w:spacing w:before="60"/>
                                <w:jc w:val="center"/>
                                <w:rPr>
                                  <w:color w:val="000000"/>
                                  <w:sz w:val="18"/>
                                  <w:szCs w:val="18"/>
                                </w:rPr>
                              </w:pPr>
                              <w:r>
                                <w:rPr>
                                  <w:color w:val="000000"/>
                                  <w:sz w:val="18"/>
                                  <w:szCs w:val="18"/>
                                </w:rPr>
                                <w:t xml:space="preserve">WEQ/RMQ </w:t>
                              </w:r>
                              <w:r w:rsidRPr="00C7062B">
                                <w:rPr>
                                  <w:color w:val="000000"/>
                                  <w:sz w:val="18"/>
                                  <w:szCs w:val="18"/>
                                </w:rPr>
                                <w:t>PAP 10 Smart Grid Standards Subcommittee (***)</w:t>
                              </w:r>
                            </w:p>
                          </w:txbxContent>
                        </wps:txbx>
                        <wps:bodyPr rot="0" vert="horz" wrap="square" lIns="0" tIns="0" rIns="0" bIns="0" anchor="ctr" anchorCtr="0" upright="1">
                          <a:noAutofit/>
                        </wps:bodyPr>
                      </wps:wsp>
                      <wps:wsp>
                        <wps:cNvPr id="27" name="Line 281"/>
                        <wps:cNvCnPr/>
                        <wps:spPr bwMode="auto">
                          <a:xfrm flipH="1">
                            <a:off x="2047800" y="4597600"/>
                            <a:ext cx="333400" cy="1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Line 277"/>
                        <wps:cNvCnPr/>
                        <wps:spPr bwMode="auto">
                          <a:xfrm flipH="1">
                            <a:off x="2029400" y="669600"/>
                            <a:ext cx="370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9" name="Line 279"/>
                        <wps:cNvCnPr/>
                        <wps:spPr bwMode="auto">
                          <a:xfrm flipH="1">
                            <a:off x="2061800" y="4161900"/>
                            <a:ext cx="333400" cy="1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0" name="Straight Connector 37"/>
                        <wps:cNvCnPr/>
                        <wps:spPr bwMode="auto">
                          <a:xfrm flipV="1">
                            <a:off x="2029400" y="669600"/>
                            <a:ext cx="18400" cy="444295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4" name="AutoShape 269"/>
                        <wps:cNvSpPr>
                          <a:spLocks noChangeArrowheads="1"/>
                        </wps:cNvSpPr>
                        <wps:spPr bwMode="auto">
                          <a:xfrm>
                            <a:off x="2420600" y="4927098"/>
                            <a:ext cx="3109595" cy="321310"/>
                          </a:xfrm>
                          <a:prstGeom prst="roundRect">
                            <a:avLst>
                              <a:gd name="adj" fmla="val 16667"/>
                            </a:avLst>
                          </a:prstGeom>
                          <a:solidFill>
                            <a:srgbClr val="CCECFF"/>
                          </a:solidFill>
                          <a:ln w="15875">
                            <a:solidFill>
                              <a:srgbClr val="000000"/>
                            </a:solidFill>
                            <a:round/>
                            <a:headEnd/>
                            <a:tailEnd/>
                          </a:ln>
                        </wps:spPr>
                        <wps:txbx>
                          <w:txbxContent>
                            <w:p w:rsidR="00BA4B71" w:rsidRDefault="00BA4B71" w:rsidP="00BA4B71">
                              <w:pPr>
                                <w:pStyle w:val="NormalWeb"/>
                                <w:spacing w:before="0" w:beforeAutospacing="0" w:after="0" w:afterAutospacing="0"/>
                                <w:jc w:val="center"/>
                              </w:pPr>
                              <w:r>
                                <w:rPr>
                                  <w:rFonts w:eastAsia="Times New Roman"/>
                                  <w:color w:val="000000"/>
                                  <w:sz w:val="8"/>
                                  <w:szCs w:val="8"/>
                                </w:rPr>
                                <w:t> </w:t>
                              </w:r>
                            </w:p>
                            <w:p w:rsidR="00BA4B71" w:rsidRDefault="00BA4B71" w:rsidP="00BA4B71">
                              <w:pPr>
                                <w:pStyle w:val="NormalWeb"/>
                                <w:spacing w:before="0" w:beforeAutospacing="0" w:after="0" w:afterAutospacing="0"/>
                                <w:jc w:val="center"/>
                              </w:pPr>
                              <w:r>
                                <w:rPr>
                                  <w:rFonts w:eastAsia="Times New Roman"/>
                                  <w:color w:val="000000"/>
                                  <w:sz w:val="18"/>
                                  <w:szCs w:val="18"/>
                                </w:rPr>
                                <w:t>FERC Forms Subcommittee</w:t>
                              </w:r>
                            </w:p>
                          </w:txbxContent>
                        </wps:txbx>
                        <wps:bodyPr rot="0" vert="horz" wrap="square" lIns="0" tIns="0" rIns="0" bIns="0" anchor="ctr" anchorCtr="0" upright="1">
                          <a:noAutofit/>
                        </wps:bodyPr>
                      </wps:wsp>
                      <wps:wsp>
                        <wps:cNvPr id="35" name="Line 281"/>
                        <wps:cNvCnPr/>
                        <wps:spPr bwMode="auto">
                          <a:xfrm flipH="1">
                            <a:off x="2047241" y="5102196"/>
                            <a:ext cx="333375"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255" o:spid="_x0000_s1026" editas="canvas" style="width:468pt;height:423pt;mso-position-horizontal-relative:char;mso-position-vertical-relative:line" coordsize="59436,53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vN55AgAAFlQAAAOAAAAZHJzL2Uyb0RvYy54bWzsXFtzm0YUfu9M/wPDuyJ2WW6aKB1bl7Yz&#10;aZtp2r6vAVm0CChgy26n/73n7MIKJGQ5tqLIMXqQEWDYy7ff+c4F3n53t4q12zAvojQZ6+SNoWth&#10;4qdBlFyP9d9/mw9cXStKngQ8TpNwrN+Hhf7du2+/ebvORiFNl2kchLkGF0mK0Tob68uyzEbDYeEv&#10;wxUv3qRZmMDBRZqveAk/8+thkPM1XH0VD6lh2MN1mgdZnvphUcDeqTyovxPXXyxCv/xlsSjCUovH&#10;OrStFN+5+L7C7+G7t3x0nfNsGflVM/gTWrHiUQI3VZea8pJrN3m0c6lV5OdpkS7KN366GqaLReSH&#10;og/QG2Js9WbCk1teiM74MDp1A2HriNe9usZ2J+k8imMYjSFcfYT78O8a5ieEnesMZqfI1DwVz7v/&#10;xyXPQtGtYuT/fPsh16JgrJu6lvAVYOTipkzFKRq1HJwhvD2c9zH7kGNbi+x96v9VaEk6WfLkOrwo&#10;MphnQB9coN6V5+l6GfIAWkrwEtCtxjXwRwFX067WP6UB3JLDLcX83S3yFd4DZka7EzC5H+uUurZR&#10;YSW8KzUfjlgeM3Gn5sMJjBoek2cM+ai+RpYX5fdhutJwY6zn0EhxD377viixTXxUn9KaAj6Kk9YO&#10;OFHugZvDv+IxbIbA17+e4c3cmcsGjNqzATOm08HFfMIG9pw41tScTiZT8h/el7DRMgqCMMGZrrFO&#10;2OOmslp1EqUK7UUaRwFeDptU5NdXkzjXbjmstbn4iJGHI5vThu1miEGAvmx1iVBmXFJvMLddZ8Dm&#10;zBp4juEODOJderbBPDadt7v0PkrC53dJW491z6KWmKVGo7f6ZojPbt/4aBWVwGZxtBrrrjqJjxCI&#10;sySAKeejkkex3G4MBTZ/MxQw3fVEC9giUuUiuEqDe0BtngKcAHrAu7CxTPN/dG0NHDbWi79veB7q&#10;WvxjAsj3CGNIeuIHsxwKP/LmkavmEZ74cKmxXuqa3JyUkihvsjy6XsKdiBiYJMUFuogEhHElyVZV&#10;awxo4kR8wbr4wv2yfCFGHEYZOGGLL5hlUKL4wkC2F2f0fNHzRc8XwCKfXV/YXXzhPYYvjiQmXNQI&#10;khxAUcjlLy05CgrYBZQAh1FQmNQEdVuZmH16Ir1Jgl9bogINzHVQySge/Klri1UMehaWmEZs2xZq&#10;ChhHKJAdAbLf4l04F/Op1WXx4gSNJrFc5+lWM8eOCOO4z1AK+bNlC8u7qzv4p40BerRZhDGWJhE2&#10;pDmEDWkKYaM2g36Z1z/O3BCCi7UjnG0Bnpbo7RDORwI2qDWKcEWzZxmofBAqG2ibBmHmBtrEOyNo&#10;z7zZ9FK6CC2hipL7S0JbuESiXT3Cda8L4WpwHnINj4ZwaghvDxBODCKU3BbEHVPJOxNXw/mw92Qy&#10;m8zn58feAuIU29VDHFDVhXE1OifBuGHXGAf8gre4Q+Ous8E4sc+Jxs8a42aPcWnOMEK3HeKz1eic&#10;BuPgekulQkGqdGDcMy08Qarws5IqZ41x1mNcYpx2YVyNzgkwDhRt1Rg3PdDmWzTumZLmEeE2gcDq&#10;IaWCwb8LFFIi/Ff5jm1HExb2xtOE9VPfs+mMwsBszmHMtWuH8lO90UOS/ZQh3H2eqcCC6OATtI3l&#10;GQ5QkHRSqWeZVu2oVkeks1odeXkOK+lK9Ug4dHusIBGfmMAhDoHIqyR8AukkdENbwp06NoZiJN8b&#10;ro0CB2+3P42Dy+Ey5z5msFQo5YHl4FEPxJ246d7loJbM3uCMStDVjqlj4yLHJuyP2xiGB5+qP63T&#10;Hhlz2WQipDd/zimny8uZMRNiAgax0dlGnkWmquCwSDnJvyKhthVbOkme5eUEmAjwz65ue1Rq9lj+&#10;t8zAYoCJGpazY9OI6W4iTGDzcMkfXsXHNmqmw0xh6feu4gYsAaPNhOkhcXc2Rs3Gge2NGjBvZauq&#10;8gXSlV+wH5WPPNYiMV2ihJ/ByE7NgkkY+Oy1saO9c9PIxT8o5BTVfaJhUCIONr6GTANxugzBKXNo&#10;FEpt6iAVg5KGyntp5BqIASUiPca76k0exLhiqteOcZVOE0VF1GnmGSbJh7wyf/vrx7RFHGU/1OUy&#10;VSVZLVtQwmBud0fCmPCpcSto/EH9EkPF0Mb/kKfuLSYTeSzPsA67C7Xn3lbQfPRi3QXlNj3ZC8Cx&#10;RUt/usImotJdFQKbWYDjIJDajkAbdK5BnZYIFglXuNIOgIM91Qc9ALereLtLJF8iALFOUPp7FQCb&#10;IfojAZBYdFefNgBIqkhNj8ARlMw+p0j3RSJQZYoqBKpQKgTQj4NAqIciu+qxUYN1MDDeU+BXTIFd&#10;aRxHxT5OkMYBW8wQgigY0W+vsu0Nc224TW8eNOWhmNfpCgYPRbO+VMGgSMsof/WVezpUpWEqklVh&#10;jmeSrE1ESgWBSzyx3daZ8CxH7ekcgGxPsV8xxXY9wOGoMMRpKNYQPjf65Bbr8IgI9ZB3z7EaxDQn&#10;8JExgDhbcvncFTWJWVd5V/kFkcxsJR6ala2aj88N5UlwMJW4LzaAYYcpL5ayAcV9MU1LzBE8Omqw&#10;lXzDwm5ZSiHI4QmpBpiwr6rAG55Ia/tjyoI9k6hlJk2EpGzLRVJuE3UzJNX7Y0d6aPJF+mNdyS1X&#10;rc8TczU+RlNleBtyuOfq+uFbZGrlDLSY//NxtYqSv3ZRrVJkUlS7amCeydXMqUU1szxnN3ZmmphS&#10;EEqlTx8c6wH3F8nV2wmsY7l1VLzjANWCbYsca1ssOCJEIQDYe3XyjSavMXK7nbw6llbdBBWgsqUu&#10;XWmY/57/PsMLPl4i/5lgBWX26mOZc6zW1SZpksCD0mmuSee4qtx6fCLhj51s/sNkSFxljBljUKgt&#10;VkGfy3qNuSwoCe2onm3S4sd9LzY6VmFgs2jKo2CoRZStQZ5QNGV5EGWonnqCR1kxErAfr6Ie5DTv&#10;HjjrVAJRpRmv3O3BR1SaJQNHdHsog2QwiE6LwBt0PJGCayAXQlTw6gkBXBsa8SBq+2zCF8kmQHwX&#10;XiWX+YJQqnft4Qvymr9hu/lGwHf/AwAA//8DAFBLAwQUAAYACAAAACEAmjSIytwAAAAFAQAADwAA&#10;AGRycy9kb3ducmV2LnhtbEyPzU7DMBCE70i8g7VIvVEH+qM2xKkQokKgXmi59ObGSxIRr6PYSUyf&#10;ni0XuKx2NKvZb7JNtI0YsPO1IwV30wQEUuFMTaWCj8P2dgXCB01GN45QwTd62OTXV5lOjRvpHYd9&#10;KAWHkE+1giqENpXSFxVa7aeuRWLv03VWB5ZdKU2nRw63jbxPkqW0uib+UOkWnyosvva9VTAmb8/x&#10;fNjuhiNFmg8vr31YLJSa3MTHBxABY/g7hgs+o0POTCfXk/GiUcBFwu9kbz1bsjwpWM15kXkm/9Pn&#10;PwAAAP//AwBQSwECLQAUAAYACAAAACEAtoM4kv4AAADhAQAAEwAAAAAAAAAAAAAAAAAAAAAAW0Nv&#10;bnRlbnRfVHlwZXNdLnhtbFBLAQItABQABgAIAAAAIQA4/SH/1gAAAJQBAAALAAAAAAAAAAAAAAAA&#10;AC8BAABfcmVscy8ucmVsc1BLAQItABQABgAIAAAAIQAYIvN55AgAAFlQAAAOAAAAAAAAAAAAAAAA&#10;AC4CAABkcnMvZTJvRG9jLnhtbFBLAQItABQABgAIAAAAIQCaNIjK3AAAAAUBAAAPAAAAAAAAAAAA&#10;AAAAAD4LAABkcnMvZG93bnJldi54bWxQSwUGAAAAAAQABADzAAAARw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53721;visibility:visible;mso-wrap-style:square">
                  <v:fill o:detectmouseclick="t"/>
                  <v:path o:connecttype="none"/>
                </v:shape>
                <v:rect id="AutoShape 257" o:spid="_x0000_s1028" style="position:absolute;top:2286;width:59436;height:420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3Y8sMA&#10;AADaAAAADwAAAGRycy9kb3ducmV2LnhtbESPQWvCQBSE74L/YXlCL6KbVpA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3Y8sMAAADaAAAADwAAAAAAAAAAAAAAAACYAgAAZHJzL2Rv&#10;d25yZXYueG1sUEsFBgAAAAAEAAQA9QAAAIgDAAAAAA==&#10;" filled="f" stroked="f">
                  <o:lock v:ext="edit" aspectratio="t"/>
                </v:rect>
                <v:rect id="AutoShape 258" o:spid="_x0000_s1029" style="position:absolute;left:9144;width:45021;height:40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RAhsMA&#10;AADaAAAADwAAAGRycy9kb3ducmV2LnhtbESPQWvCQBSE74L/YXlCL6KbFpE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RAhsMAAADaAAAADwAAAAAAAAAAAAAAAACYAgAAZHJzL2Rv&#10;d25yZXYueG1sUEsFBgAAAAAEAAQA9QAAAIgDAAAAAA==&#10;" filled="f" stroked="f">
                  <o:lock v:ext="edit" aspectratio="t"/>
                </v:rect>
                <v:roundrect id="AutoShape 259" o:spid="_x0000_s1030" style="position:absolute;left:8940;top:228;width:22810;height:323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PbycMA&#10;AADaAAAADwAAAGRycy9kb3ducmV2LnhtbESPT2vCQBTE7wW/w/KE3upGwSDRVfyDWNpejKIeH9ln&#10;Esy+Ddmtxn56Vyh4HGbmN8xk1ppKXKlxpWUF/V4EgjizuuRcwX63/hiBcB5ZY2WZFNzJwWzaeZtg&#10;ou2Nt3RNfS4ChF2CCgrv60RKlxVk0PVsTRy8s20M+iCbXOoGbwFuKjmIolgaLDksFFjTsqDskv4a&#10;Bd/H02aF1WLxZ9MRxcOvOx5+UqXeu+18DMJT61/h//anVhDD80q4AX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APbycMAAADaAAAADwAAAAAAAAAAAAAAAACYAgAAZHJzL2Rv&#10;d25yZXYueG1sUEsFBgAAAAAEAAQA9QAAAIgDAAAAAA==&#10;" fillcolor="#a7afd5" strokeweight="1.25pt">
                  <v:textbox inset="0,0,0,0">
                    <w:txbxContent>
                      <w:p w:rsidR="00BA4B71" w:rsidRPr="00401297" w:rsidRDefault="00BA4B71" w:rsidP="00C7062B">
                        <w:pPr>
                          <w:autoSpaceDE w:val="0"/>
                          <w:autoSpaceDN w:val="0"/>
                          <w:adjustRightInd w:val="0"/>
                          <w:jc w:val="center"/>
                          <w:rPr>
                            <w:i/>
                            <w:color w:val="000000"/>
                            <w:sz w:val="18"/>
                            <w:szCs w:val="18"/>
                            <w:vertAlign w:val="superscript"/>
                          </w:rPr>
                        </w:pPr>
                        <w:r>
                          <w:rPr>
                            <w:color w:val="000000"/>
                            <w:sz w:val="18"/>
                            <w:szCs w:val="18"/>
                          </w:rPr>
                          <w:t>Wholesale Electric Quadrant</w:t>
                        </w:r>
                      </w:p>
                      <w:p w:rsidR="00BA4B71" w:rsidRDefault="00BA4B71" w:rsidP="00C7062B">
                        <w:pPr>
                          <w:autoSpaceDE w:val="0"/>
                          <w:autoSpaceDN w:val="0"/>
                          <w:adjustRightInd w:val="0"/>
                          <w:jc w:val="center"/>
                          <w:rPr>
                            <w:rFonts w:ascii="Arial" w:cs="Arial"/>
                            <w:color w:val="000000"/>
                            <w:sz w:val="36"/>
                            <w:szCs w:val="36"/>
                          </w:rPr>
                        </w:pPr>
                        <w:r>
                          <w:rPr>
                            <w:color w:val="000000"/>
                            <w:sz w:val="18"/>
                            <w:szCs w:val="18"/>
                          </w:rPr>
                          <w:t>Executive Committee (WEQ EC)</w:t>
                        </w:r>
                      </w:p>
                    </w:txbxContent>
                  </v:textbox>
                </v:roundrect>
                <v:roundrect id="AutoShape 260" o:spid="_x0000_s1031" style="position:absolute;left:24022;top:5080;width:30143;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RlgsAA&#10;AADaAAAADwAAAGRycy9kb3ducmV2LnhtbERPz2vCMBS+C/4P4Q28yExdRaQziggbgh607rDdHs1b&#10;U9a8lCZr639vDoLHj+/3ejvYWnTU+sqxgvksAUFcOF1xqeDr+vG6AuEDssbaMSm4kYftZjxaY6Zd&#10;zxfq8lCKGMI+QwUmhCaT0heGLPqZa4gj9+taiyHCtpS6xT6G21q+JclSWqw4NhhsaG+o+Mv/rYLz&#10;Iv1Jjyvb9J/T9GT4W9qaOqUmL8PuHUSgITzFD/dBK4hb45V4A+Tm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YRlgsAAAADaAAAADwAAAAAAAAAAAAAAAACYAgAAZHJzL2Rvd25y&#10;ZXYueG1sUEsFBgAAAAAEAAQA9QAAAIUDAAAAAA==&#10;" fillcolor="#e9edb1" strokeweight="1.25pt">
                  <v:textbox inset="0,0,0,0">
                    <w:txbxContent>
                      <w:p w:rsidR="00BA4B71" w:rsidRDefault="00BA4B71" w:rsidP="00C7062B">
                        <w:pPr>
                          <w:autoSpaceDE w:val="0"/>
                          <w:autoSpaceDN w:val="0"/>
                          <w:adjustRightInd w:val="0"/>
                          <w:jc w:val="center"/>
                          <w:rPr>
                            <w:color w:val="000000"/>
                            <w:sz w:val="8"/>
                            <w:szCs w:val="8"/>
                          </w:rPr>
                        </w:pPr>
                      </w:p>
                      <w:p w:rsidR="00BA4B71" w:rsidRDefault="00BA4B71" w:rsidP="00C7062B">
                        <w:pPr>
                          <w:autoSpaceDE w:val="0"/>
                          <w:autoSpaceDN w:val="0"/>
                          <w:adjustRightInd w:val="0"/>
                          <w:jc w:val="center"/>
                          <w:rPr>
                            <w:rFonts w:ascii="Arial" w:cs="Arial"/>
                            <w:color w:val="000000"/>
                            <w:sz w:val="36"/>
                            <w:szCs w:val="36"/>
                          </w:rPr>
                        </w:pPr>
                        <w:r>
                          <w:rPr>
                            <w:color w:val="000000"/>
                            <w:sz w:val="18"/>
                            <w:szCs w:val="18"/>
                          </w:rPr>
                          <w:t>Standards Review Subcommittee (SRS)</w:t>
                        </w:r>
                      </w:p>
                    </w:txbxContent>
                  </v:textbox>
                </v:roundrect>
                <v:roundrect id="AutoShape 261" o:spid="_x0000_s1032" style="position:absolute;left:24206;top:10121;width:30731;height:322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ywesIA&#10;AADaAAAADwAAAGRycy9kb3ducmV2LnhtbESP3WrCQBSE7wu+w3IE75qNIq1GV5EURUqhNAreHrIn&#10;P5g9m2bXGN++Wyj0cpiZb5j1djCN6KlztWUF0ygGQZxbXXOp4HzaPy9AOI+ssbFMCh7kYLsZPa0x&#10;0fbOX9RnvhQBwi5BBZX3bSKlyysy6CLbEgevsJ1BH2RXSt3hPcBNI2dx/CIN1hwWKmwprSi/Zjej&#10;4PvyUaCV6fnxyW90eF3QvHgnpSbjYbcC4Wnw/+G/9lErWMLvlXAD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DLB6wgAAANoAAAAPAAAAAAAAAAAAAAAAAJgCAABkcnMvZG93&#10;bnJldi54bWxQSwUGAAAAAAQABAD1AAAAhwMAAAAA&#10;" fillcolor="#ccecff" strokeweight="1.25pt">
                  <v:textbox inset="0,0,0,0">
                    <w:txbxContent>
                      <w:p w:rsidR="00BA4B71" w:rsidRDefault="00BA4B71" w:rsidP="00C7062B">
                        <w:pPr>
                          <w:autoSpaceDE w:val="0"/>
                          <w:autoSpaceDN w:val="0"/>
                          <w:adjustRightInd w:val="0"/>
                          <w:jc w:val="center"/>
                          <w:rPr>
                            <w:color w:val="000000"/>
                            <w:sz w:val="8"/>
                            <w:szCs w:val="8"/>
                          </w:rPr>
                        </w:pPr>
                      </w:p>
                      <w:p w:rsidR="00BA4B71" w:rsidRDefault="00BA4B71" w:rsidP="00C7062B">
                        <w:pPr>
                          <w:autoSpaceDE w:val="0"/>
                          <w:autoSpaceDN w:val="0"/>
                          <w:adjustRightInd w:val="0"/>
                          <w:jc w:val="center"/>
                          <w:rPr>
                            <w:rFonts w:ascii="Arial" w:cs="Arial"/>
                            <w:color w:val="000000"/>
                            <w:sz w:val="36"/>
                            <w:szCs w:val="36"/>
                          </w:rPr>
                        </w:pPr>
                        <w:r>
                          <w:rPr>
                            <w:color w:val="000000"/>
                            <w:sz w:val="18"/>
                            <w:szCs w:val="18"/>
                          </w:rPr>
                          <w:t>Interpretations Subcommittee</w:t>
                        </w:r>
                      </w:p>
                    </w:txbxContent>
                  </v:textbox>
                </v:roundrect>
                <v:roundrect id="AutoShape 262" o:spid="_x0000_s1033" style="position:absolute;left:24066;top:20072;width:30871;height:316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7yXMsMA&#10;AADbAAAADwAAAGRycy9kb3ducmV2LnhtbESPT2sCQQzF74LfYYjQm85apF1WRxGLUkqh1Apew072&#10;D+5k1p1R12/fHARvCe/lvV8Wq9416kpdqD0bmE4SUMS5tzWXBg5/23EKKkRki41nMnCnAKvlcLDA&#10;zPob/9J1H0slIRwyNFDF2GZah7wih2HiW2LRCt85jLJ2pbYd3iTcNfo1Sd60w5qlocKWNhXlp/3F&#10;GTgfvwv0enO4//AH7d5TmhVfZMzLqF/PQUXq49P8uP60gi/08osMo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7yXMsMAAADbAAAADwAAAAAAAAAAAAAAAACYAgAAZHJzL2Rv&#10;d25yZXYueG1sUEsFBgAAAAAEAAQA9QAAAIgDAAAAAA==&#10;" fillcolor="#ccecff" strokeweight="1.25pt">
                  <v:textbox inset="0,0,0,0">
                    <w:txbxContent>
                      <w:p w:rsidR="00BA4B71" w:rsidRPr="007A50B3" w:rsidRDefault="00BA4B71" w:rsidP="00C7062B">
                        <w:pPr>
                          <w:autoSpaceDE w:val="0"/>
                          <w:autoSpaceDN w:val="0"/>
                          <w:adjustRightInd w:val="0"/>
                          <w:spacing w:before="60"/>
                          <w:jc w:val="center"/>
                          <w:rPr>
                            <w:color w:val="000000"/>
                            <w:sz w:val="18"/>
                            <w:szCs w:val="18"/>
                          </w:rPr>
                        </w:pPr>
                        <w:r>
                          <w:rPr>
                            <w:color w:val="000000"/>
                            <w:sz w:val="18"/>
                            <w:szCs w:val="18"/>
                          </w:rPr>
                          <w:t>OASIS Subcommittee</w:t>
                        </w:r>
                      </w:p>
                    </w:txbxContent>
                  </v:textbox>
                </v:roundrect>
                <v:roundrect id="AutoShape 263" o:spid="_x0000_s1034" style="position:absolute;left:24002;top:25082;width:30935;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Ayqb8A&#10;AADbAAAADwAAAGRycy9kb3ducmV2LnhtbERP24rCMBB9F/Yfwgi+aaosKtW0iLKLiCC6wr4OzfSC&#10;zaTbZLX+vREE3+ZwrrNMO1OLK7WusqxgPIpAEGdWV1woOP98DecgnEfWWFsmBXdykCYfvSXG2t74&#10;SNeTL0QIYRejgtL7JpbSZSUZdCPbEAcut61BH2BbSN3iLYSbWk6iaCoNVhwaSmxoXVJ2Of0bBX+/&#10;+xytXJ/vB97Q92xOn/mOlBr0u9UChKfOv8Uv91aH+WN4/hIOkM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8DKpvwAAANsAAAAPAAAAAAAAAAAAAAAAAJgCAABkcnMvZG93bnJl&#10;di54bWxQSwUGAAAAAAQABAD1AAAAhAMAAAAA&#10;" fillcolor="#ccecff" strokeweight="1.25pt">
                  <v:textbox inset="0,0,0,0">
                    <w:txbxContent>
                      <w:p w:rsidR="00BA4B71" w:rsidRDefault="00BA4B71" w:rsidP="00C7062B">
                        <w:pPr>
                          <w:autoSpaceDE w:val="0"/>
                          <w:autoSpaceDN w:val="0"/>
                          <w:adjustRightInd w:val="0"/>
                          <w:spacing w:before="100"/>
                          <w:jc w:val="center"/>
                          <w:rPr>
                            <w:rFonts w:ascii="Arial" w:cs="Arial"/>
                            <w:color w:val="000000"/>
                            <w:sz w:val="36"/>
                            <w:szCs w:val="36"/>
                          </w:rPr>
                        </w:pPr>
                        <w:r>
                          <w:rPr>
                            <w:color w:val="000000"/>
                            <w:sz w:val="18"/>
                            <w:szCs w:val="18"/>
                          </w:rPr>
                          <w:t>Coordinate Interchange Scheduling Subcommittee (CISS)</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64" o:spid="_x0000_s1035" type="#_x0000_t13" style="position:absolute;left:10052;top:3924;width:9366;height:61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FuRr4A&#10;AADbAAAADwAAAGRycy9kb3ducmV2LnhtbERPS4vCMBC+C/6HMII3TdfDIl2jyMqywp58X4dmtik2&#10;k9LEtP57Iwje5uN7zmLV21pEan3lWMHHNANBXDhdcangePiZzEH4gKyxdkwK7uRhtRwOFphr1/GO&#10;4j6UIoWwz1GBCaHJpfSFIYt+6hrixP271mJIsC2lbrFL4baWsyz7lBYrTg0GG/o2VFz3N6vgL0Z5&#10;unC5mZ/9r+/MJW5OB6nUeNSvv0AE6sNb/HJvdZo/g+cv6QC5fA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rhbka+AAAA2wAAAA8AAAAAAAAAAAAAAAAAmAIAAGRycy9kb3ducmV2&#10;LnhtbFBLBQYAAAAABAAEAPUAAACDAwAAAAA=&#10;" adj="15188" fillcolor="#e9edb1">
                  <v:textbox inset="1.64083mm,.82042mm,1.64083mm,.82042mm">
                    <w:txbxContent>
                      <w:p w:rsidR="00BA4B71" w:rsidRPr="00A0124C" w:rsidRDefault="00BA4B71" w:rsidP="00A0124C">
                        <w:pPr>
                          <w:autoSpaceDE w:val="0"/>
                          <w:autoSpaceDN w:val="0"/>
                          <w:adjustRightInd w:val="0"/>
                          <w:jc w:val="center"/>
                          <w:rPr>
                            <w:rFonts w:ascii="Arial" w:cs="Arial"/>
                            <w:color w:val="000000"/>
                            <w:sz w:val="18"/>
                            <w:szCs w:val="18"/>
                          </w:rPr>
                        </w:pPr>
                        <w:r w:rsidRPr="00A0124C">
                          <w:rPr>
                            <w:color w:val="000000"/>
                            <w:sz w:val="18"/>
                            <w:szCs w:val="18"/>
                          </w:rPr>
                          <w:t>Scoping</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65" o:spid="_x0000_s1036" type="#_x0000_t88" style="position:absolute;left:17145;top:12573;width:2768;height:308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PTdb4A&#10;AADbAAAADwAAAGRycy9kb3ducmV2LnhtbERPzYrCMBC+L/gOYQRva6qCK9UoooiexFUfYEzGttpM&#10;ShO1vr0RBG/z8f3OZNbYUtyp9oVjBb1uAoJYO1NwpuB4WP2OQPiAbLB0TAqe5GE2bf1MMDXuwf90&#10;34dMxBD2KSrIQ6hSKb3OyaLvuoo4cmdXWwwR1pk0NT5iuC1lP0mG0mLBsSHHihY56ev+ZhUkunf7&#10;C+VlcT1dVua51evlesdKddrNfAwiUBO+4o97Y+L8Abx/iQfI6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z03W+AAAA2wAAAA8AAAAAAAAAAAAAAAAAmAIAAGRycy9kb3ducmV2&#10;LnhtbFBLBQYAAAAABAAEAPUAAACDAwAAAAA=&#10;" fillcolor="#bbe0e3" strokecolor="#099" strokeweight="6pt"/>
                <v:shape id="AutoShape 267" o:spid="_x0000_s1037" type="#_x0000_t13" style="position:absolute;left:2286;top:20574;width:13843;height:92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Sa8MIA&#10;AADbAAAADwAAAGRycy9kb3ducmV2LnhtbERPzWrCQBC+C32HZQq9SN1osZToKlawqPFi6gMM2TEJ&#10;zc7G7NZEn94VBG/z8f3OdN6ZSpypcaVlBcNBBII4s7rkXMHhd/X+BcJ5ZI2VZVJwIQfz2UtvirG2&#10;Le/pnPpchBB2MSoovK9jKV1WkEE3sDVx4I62MegDbHKpG2xDuKnkKIo+pcGSQ0OBNS0Lyv7Sf6Ng&#10;v95e6efjlGySw/cwSfv5DhetUm+v3WICwlPnn+KHe63D/DHcfwkHyN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BJrwwgAAANsAAAAPAAAAAAAAAAAAAAAAAJgCAABkcnMvZG93&#10;bnJldi54bWxQSwUGAAAAAAQABAD1AAAAhwMAAAAA&#10;" fillcolor="#ccecff">
                  <v:textbox inset="1.64083mm,.82042mm,1.64083mm,.82042mm">
                    <w:txbxContent>
                      <w:p w:rsidR="00BA4B71" w:rsidRDefault="00BA4B71" w:rsidP="00A0124C">
                        <w:pPr>
                          <w:autoSpaceDE w:val="0"/>
                          <w:autoSpaceDN w:val="0"/>
                          <w:adjustRightInd w:val="0"/>
                          <w:jc w:val="center"/>
                          <w:rPr>
                            <w:rFonts w:ascii="Arial" w:cs="Arial"/>
                            <w:color w:val="000000"/>
                            <w:sz w:val="36"/>
                            <w:szCs w:val="36"/>
                          </w:rPr>
                        </w:pPr>
                        <w:r>
                          <w:rPr>
                            <w:color w:val="000000"/>
                            <w:sz w:val="18"/>
                            <w:szCs w:val="18"/>
                          </w:rPr>
                          <w:t>Development</w:t>
                        </w:r>
                      </w:p>
                    </w:txbxContent>
                  </v:textbox>
                </v:shape>
                <v:roundrect id="AutoShape 268" o:spid="_x0000_s1038" style="position:absolute;left:23812;top:30416;width:31490;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mq3cAA&#10;AADbAAAADwAAAGRycy9kb3ducmV2LnhtbERP22rCQBB9F/oPyxR8041FNERXkZQWEUG0Ql+H7OSC&#10;2dk0u03i37uFgm9zONdZbwdTi45aV1lWMJtGIIgzqysuFFy/PiYxCOeRNdaWScGdHGw3L6M1Jtr2&#10;fKbu4gsRQtglqKD0vkmkdFlJBt3UNsSBy21r0AfYFlK32IdwU8u3KFpIgxWHhhIbSkvKbpdfo+Dn&#10;+5ijlen1fuJ3+lzGNM8PpNT4dditQHga/FP8797rMH8Bf7+EA+Tm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xmq3cAAAADbAAAADwAAAAAAAAAAAAAAAACYAgAAZHJzL2Rvd25y&#10;ZXYueG1sUEsFBgAAAAAEAAQA9QAAAIUDAAAAAA==&#10;" fillcolor="#ccecff" strokeweight="1.25pt">
                  <v:textbox inset="0,0,0,0">
                    <w:txbxContent>
                      <w:p w:rsidR="00BA4B71" w:rsidRDefault="00BA4B71" w:rsidP="00C7062B">
                        <w:pPr>
                          <w:autoSpaceDE w:val="0"/>
                          <w:autoSpaceDN w:val="0"/>
                          <w:adjustRightInd w:val="0"/>
                          <w:jc w:val="center"/>
                          <w:rPr>
                            <w:color w:val="000000"/>
                            <w:sz w:val="8"/>
                            <w:szCs w:val="8"/>
                          </w:rPr>
                        </w:pPr>
                      </w:p>
                      <w:p w:rsidR="00BA4B71" w:rsidRDefault="00BA4B71" w:rsidP="00C7062B">
                        <w:pPr>
                          <w:autoSpaceDE w:val="0"/>
                          <w:autoSpaceDN w:val="0"/>
                          <w:adjustRightInd w:val="0"/>
                          <w:jc w:val="center"/>
                          <w:rPr>
                            <w:rFonts w:ascii="Arial" w:cs="Arial"/>
                            <w:color w:val="000000"/>
                            <w:sz w:val="36"/>
                            <w:szCs w:val="36"/>
                          </w:rPr>
                        </w:pPr>
                        <w:r>
                          <w:rPr>
                            <w:color w:val="000000"/>
                            <w:sz w:val="18"/>
                            <w:szCs w:val="18"/>
                          </w:rPr>
                          <w:t>Cybersecurity Subcommittee</w:t>
                        </w:r>
                      </w:p>
                    </w:txbxContent>
                  </v:textbox>
                </v:roundrect>
                <v:roundrect id="AutoShape 269" o:spid="_x0000_s1039" style="position:absolute;left:24206;top:44577;width:31096;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UPRr8A&#10;AADbAAAADwAAAGRycy9kb3ducmV2LnhtbERP24rCMBB9F/yHMIJvmrqISjUtoqwsi7CsCr4OzfSC&#10;zaQ2UevfG2Fh3+ZwrrNKO1OLO7WusqxgMo5AEGdWV1woOB0/RwsQziNrrC2Tgic5SJN+b4Wxtg/+&#10;pfvBFyKEsItRQel9E0vpspIMurFtiAOX29agD7AtpG7xEcJNLT+iaCYNVhwaSmxoU1J2OdyMgut5&#10;n6OVm9Pzh7e0my9omn+TUsNBt16C8NT5f/Gf+0uH+XN4/xIOkM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VQ9GvwAAANsAAAAPAAAAAAAAAAAAAAAAAJgCAABkcnMvZG93bnJl&#10;di54bWxQSwUGAAAAAAQABAD1AAAAhAMAAAAA&#10;" fillcolor="#ccecff" strokeweight="1.25pt">
                  <v:textbox inset="0,0,0,0">
                    <w:txbxContent>
                      <w:p w:rsidR="00BA4B71" w:rsidRDefault="00BA4B71" w:rsidP="00C7062B">
                        <w:pPr>
                          <w:autoSpaceDE w:val="0"/>
                          <w:autoSpaceDN w:val="0"/>
                          <w:adjustRightInd w:val="0"/>
                          <w:jc w:val="center"/>
                          <w:rPr>
                            <w:color w:val="000000"/>
                            <w:sz w:val="8"/>
                            <w:szCs w:val="8"/>
                          </w:rPr>
                        </w:pPr>
                      </w:p>
                      <w:p w:rsidR="00BA4B71" w:rsidRDefault="00BA4B71" w:rsidP="00C7062B">
                        <w:pPr>
                          <w:autoSpaceDE w:val="0"/>
                          <w:autoSpaceDN w:val="0"/>
                          <w:adjustRightInd w:val="0"/>
                          <w:jc w:val="center"/>
                          <w:rPr>
                            <w:rFonts w:ascii="Arial" w:cs="Arial"/>
                            <w:color w:val="000000"/>
                            <w:sz w:val="36"/>
                            <w:szCs w:val="36"/>
                          </w:rPr>
                        </w:pPr>
                        <w:r>
                          <w:rPr>
                            <w:color w:val="000000"/>
                            <w:sz w:val="18"/>
                            <w:szCs w:val="18"/>
                          </w:rPr>
                          <w:t>RMQ/WEQ DSM-EE Subcommittee</w:t>
                        </w:r>
                      </w:p>
                    </w:txbxContent>
                  </v:textbox>
                </v:roundrect>
                <v:line id="Line 271" o:spid="_x0000_s1040" style="position:absolute;flip:x;visibility:visible;mso-wrap-style:square" from="20574,32004" to="23907,32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FMScsMAAADbAAAADwAAAGRycy9kb3ducmV2LnhtbESPQWsCMRCF70L/Q5iCt5qtB5GtUaQg&#10;KPVQrdDrsJndLG4mS5K66793DgVvM7w3732z2oy+UzeKqQ1s4H1WgCKugm25MXD52b0tQaWMbLEL&#10;TAbulGCzfpmssLRh4BPdzrlREsKpRAMu577UOlWOPKZZ6IlFq0P0mGWNjbYRBwn3nZ4XxUJ7bFka&#10;HPb06ai6nv+8AX34Gr7jbn6pm3rfh9+DOy6G0Zjp67j9AJVpzE/z//XeCr7Ayi8ygF4/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xTEnLDAAAA2wAAAA8AAAAAAAAAAAAA&#10;AAAAoQIAAGRycy9kb3ducmV2LnhtbFBLBQYAAAAABAAEAPkAAACRAwAAAAA=&#10;" strokeweight="1.5pt"/>
                <v:line id="Line 272" o:spid="_x0000_s1041" style="position:absolute;flip:x;visibility:visible;mso-wrap-style:square" from="20574,26733" to="24098,267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36cAAAADbAAAADwAAAGRycy9kb3ducmV2LnhtbERPS4vCMBC+L/gfwgh7W1M9iFajiCAo&#10;uwdf4HVopk2xmZQk2vrvzcLC3ubje85y3dtGPMmH2rGC8SgDQVw4XXOl4HrZfc1AhIissXFMCl4U&#10;YL0afCwx167jEz3PsRIphEOOCkyMbS5lKAxZDCPXEieudN5iTNBXUnvsUrht5CTLptJizanBYEtb&#10;Q8X9/LAK5OG7O/rd5FpW5b51t4P5mXa9Up/DfrMAEamP/+I/916n+XP4/SUdIFd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Mft+nAAAAA2wAAAA8AAAAAAAAAAAAAAAAA&#10;oQIAAGRycy9kb3ducmV2LnhtbFBLBQYAAAAABAAEAPkAAACOAwAAAAA=&#10;" strokeweight="1.5pt"/>
                <v:line id="Line 273" o:spid="_x0000_s1042" style="position:absolute;flip:x;visibility:visible;mso-wrap-style:square" from="20574,21526" to="24098,215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nUyb4AAADbAAAADwAAAGRycy9kb3ducmV2LnhtbERPTYvCMBC9C/6HMMLeNLUHWbpGEUFQ&#10;9OCqsNehmTbFZlKSaOu/3xwEj4/3vVwPthVP8qFxrGA+y0AQl043XCu4XXfTbxAhImtsHZOCFwVY&#10;r8ajJRba9fxLz0usRQrhUKACE2NXSBlKQxbDzHXEiauctxgT9LXUHvsUbluZZ9lCWmw4NRjsaGuo&#10;vF8eVoE8HPuz3+W3qq72nfs7mNOiH5T6mgybHxCRhvgRv917rSBP69OX9APk6h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sSdTJvgAAANsAAAAPAAAAAAAAAAAAAAAAAKEC&#10;AABkcnMvZG93bnJldi54bWxQSwUGAAAAAAQABAD5AAAAjAMAAAAA&#10;" strokeweight="1.5pt"/>
                <v:line id="Line 275" o:spid="_x0000_s1043" style="position:absolute;flip:x;visibility:visible;mso-wrap-style:square" from="20574,16617" to="24384,16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VxUsIAAADbAAAADwAAAGRycy9kb3ducmV2LnhtbESPQYvCMBSE74L/ITzBm6b2IEs1igiC&#10;sh5cV/D6aF6bYvNSkmi7/94sLOxxmJlvmPV2sK14kQ+NYwWLeQaCuHS64VrB7fsw+wARIrLG1jEp&#10;+KEA2814tMZCu56/6HWNtUgQDgUqMDF2hZShNGQxzF1HnLzKeYsxSV9L7bFPcNvKPMuW0mLDacFg&#10;R3tD5eP6tArk6bO/+EN+q+rq2Ln7yZyX/aDUdDLsViAiDfE//Nc+agX5An6/pB8gN2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wVxUsIAAADbAAAADwAAAAAAAAAAAAAA&#10;AAChAgAAZHJzL2Rvd25yZXYueG1sUEsFBgAAAAAEAAQA+QAAAJADAAAAAA==&#10;" strokeweight="1.5pt"/>
                <v:roundrect id="AutoShape 276" o:spid="_x0000_s1044" style="position:absolute;left:24047;top:14909;width:30890;height:322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5mY8MA&#10;AADbAAAADwAAAGRycy9kb3ducmV2LnhtbESP3WoCMRSE7wt9h3AK3tVsF7GyGqVYFJFC0Qq9PWzO&#10;/uDmZJtEd/ftG0HwcpiZb5jFqjeNuJLztWUFb+MEBHFudc2lgtPP5nUGwgdkjY1lUjCQh9Xy+WmB&#10;mbYdH+h6DKWIEPYZKqhCaDMpfV6RQT+2LXH0CusMhihdKbXDLsJNI9MkmUqDNceFCltaV5Sfjxej&#10;4O/3q0Ar16fhmz9p+z6jSbEnpUYv/cccRKA+PML39k4rSFO4fYk/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k5mY8MAAADbAAAADwAAAAAAAAAAAAAAAACYAgAAZHJzL2Rv&#10;d25yZXYueG1sUEsFBgAAAAAEAAQA9QAAAIgDAAAAAA==&#10;" fillcolor="#ccecff" strokeweight="1.25pt">
                  <v:textbox inset="0,0,0,0">
                    <w:txbxContent>
                      <w:p w:rsidR="00BA4B71" w:rsidRDefault="00BA4B71" w:rsidP="00C7062B">
                        <w:pPr>
                          <w:autoSpaceDE w:val="0"/>
                          <w:autoSpaceDN w:val="0"/>
                          <w:adjustRightInd w:val="0"/>
                          <w:jc w:val="center"/>
                          <w:rPr>
                            <w:color w:val="000000"/>
                            <w:sz w:val="8"/>
                            <w:szCs w:val="8"/>
                          </w:rPr>
                        </w:pPr>
                      </w:p>
                      <w:p w:rsidR="00BA4B71" w:rsidRDefault="00BA4B71" w:rsidP="00C7062B">
                        <w:pPr>
                          <w:autoSpaceDE w:val="0"/>
                          <w:autoSpaceDN w:val="0"/>
                          <w:adjustRightInd w:val="0"/>
                          <w:jc w:val="center"/>
                          <w:rPr>
                            <w:rFonts w:ascii="Arial" w:cs="Arial"/>
                            <w:color w:val="000000"/>
                            <w:sz w:val="36"/>
                            <w:szCs w:val="36"/>
                          </w:rPr>
                        </w:pPr>
                        <w:r>
                          <w:rPr>
                            <w:color w:val="000000"/>
                            <w:sz w:val="18"/>
                            <w:szCs w:val="18"/>
                          </w:rPr>
                          <w:t>Business Practices Subcommittee (BPS)</w:t>
                        </w:r>
                      </w:p>
                    </w:txbxContent>
                  </v:textbox>
                </v:roundrect>
                <v:line id="Line 277" o:spid="_x0000_s1045" style="position:absolute;flip:x;visibility:visible;mso-wrap-style:square" from="20618,11918" to="24326,11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tKvsMAAADbAAAADwAAAGRycy9kb3ducmV2LnhtbESPzWrDMBCE74W8g9hAb40cF0Jwo4QQ&#10;CCS0h/wYcl2stWVqrYykxO7bV4FCj8PMfMOsNqPtxIN8aB0rmM8yEMSV0y03Csrr/m0JIkRkjZ1j&#10;UvBDATbrycsKC+0GPtPjEhuRIBwKVGBi7AspQ2XIYpi5njh5tfMWY5K+kdrjkOC2k3mWLaTFltOC&#10;wZ52hqrvy90qkMfP4eT3eVk39aF3t6P5WgyjUq/TcfsBItIY/8N/7YNWkL/D80v6A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ybSr7DAAAA2wAAAA8AAAAAAAAAAAAA&#10;AAAAoQIAAGRycy9kb3ducmV2LnhtbFBLBQYAAAAABAAEAPkAAACRAwAAAAA=&#10;" strokeweight="1.5pt"/>
                <v:roundrect id="AutoShape 278" o:spid="_x0000_s1046" style="position:absolute;left:24003;top:35433;width:31299;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vve8IA&#10;AADbAAAADwAAAGRycy9kb3ducmV2LnhtbESPT4vCMBTE74LfITzBm6aWskrXKIsgetiL/w7eHs3b&#10;pmzzUppY6356syB4HGbmN8xy3dtadNT6yrGC2TQBQVw4XXGp4HzaThYgfEDWWDsmBQ/ysF4NB0vM&#10;tbvzgbpjKEWEsM9RgQmhyaX0hSGLfuoa4uj9uNZiiLItpW7xHuG2lmmSfEiLFccFgw1tDBW/x5tV&#10;kDUXS/PrX2m236lEl3W7R+iUGo/6r08QgfrwDr/ae60gzeD/S/wBcvU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G+97wgAAANsAAAAPAAAAAAAAAAAAAAAAAJgCAABkcnMvZG93&#10;bnJldi54bWxQSwUGAAAAAAQABAD1AAAAhwMAAAAA&#10;" fillcolor="#3cc" strokeweight="1.25pt">
                  <v:fill opacity="15163f"/>
                  <v:stroke dashstyle="1 1" endcap="round"/>
                  <v:textbox inset="0,0,0,0">
                    <w:txbxContent>
                      <w:p w:rsidR="00BA4B71" w:rsidRDefault="00BA4B71" w:rsidP="00C7062B">
                        <w:pPr>
                          <w:autoSpaceDE w:val="0"/>
                          <w:autoSpaceDN w:val="0"/>
                          <w:adjustRightInd w:val="0"/>
                          <w:jc w:val="center"/>
                          <w:rPr>
                            <w:color w:val="000000"/>
                            <w:sz w:val="8"/>
                            <w:szCs w:val="8"/>
                          </w:rPr>
                        </w:pPr>
                      </w:p>
                      <w:p w:rsidR="00BA4B71" w:rsidRPr="00DC57C9" w:rsidRDefault="00BA4B71" w:rsidP="00C7062B">
                        <w:pPr>
                          <w:autoSpaceDE w:val="0"/>
                          <w:autoSpaceDN w:val="0"/>
                          <w:adjustRightInd w:val="0"/>
                          <w:jc w:val="center"/>
                          <w:rPr>
                            <w:rFonts w:ascii="Arial" w:cs="Arial"/>
                          </w:rPr>
                        </w:pPr>
                        <w:r>
                          <w:rPr>
                            <w:color w:val="000000"/>
                            <w:sz w:val="18"/>
                            <w:szCs w:val="18"/>
                          </w:rPr>
                          <w:t xml:space="preserve">WEQ/RMQ </w:t>
                        </w:r>
                        <w:r w:rsidRPr="00985642">
                          <w:rPr>
                            <w:color w:val="000000"/>
                            <w:sz w:val="18"/>
                            <w:szCs w:val="18"/>
                          </w:rPr>
                          <w:t xml:space="preserve">Smart Grid Standards </w:t>
                        </w:r>
                        <w:r>
                          <w:rPr>
                            <w:color w:val="000000"/>
                            <w:sz w:val="18"/>
                            <w:szCs w:val="18"/>
                          </w:rPr>
                          <w:t>Subcommittee</w:t>
                        </w:r>
                        <w:r w:rsidRPr="00985642">
                          <w:rPr>
                            <w:color w:val="000000"/>
                            <w:sz w:val="18"/>
                            <w:szCs w:val="18"/>
                          </w:rPr>
                          <w:t xml:space="preserve"> (**)</w:t>
                        </w:r>
                      </w:p>
                    </w:txbxContent>
                  </v:textbox>
                </v:roundrect>
                <v:line id="Line 279" o:spid="_x0000_s1047" style="position:absolute;flip:x;visibility:visible;mso-wrap-style:square" from="20574,36588" to="23907,366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3UcMAAADbAAAADwAAAGRycy9kb3ducmV2LnhtbESPzWrDMBCE74W8g9hAb40cQ0Nwo4QQ&#10;CCS0h/wYcl2stWVqrYykxO7bV4FCj8PMfMOsNqPtxIN8aB0rmM8yEMSV0y03Csrr/m0JIkRkjZ1j&#10;UvBDATbrycsKC+0GPtPjEhuRIBwKVGBi7AspQ2XIYpi5njh5tfMWY5K+kdrjkOC2k3mWLaTFltOC&#10;wZ52hqrvy90qkMfP4eT3eVk39aF3t6P5WgyjUq/TcfsBItIY/8N/7YNWkL/D80v6A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w+d1HDAAAA2wAAAA8AAAAAAAAAAAAA&#10;AAAAoQIAAGRycy9kb3ducmV2LnhtbFBLBQYAAAAABAAEAPkAAACRAwAAAAA=&#10;" strokeweight="1.5pt"/>
                <v:roundrect id="AutoShape 280" o:spid="_x0000_s1048" style="position:absolute;left:24003;top:40005;width:31299;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XUl8QA&#10;AADbAAAADwAAAGRycy9kb3ducmV2LnhtbESPzWrDMBCE74G8g9hAb7FcY9zgRgmlENpDLk2TQ2+L&#10;tbFMrJWxVP/06aNCocdhZr5htvvJtmKg3jeOFTwmKQjiyumGawXnz8N6A8IHZI2tY1Iwk4f9brnY&#10;YqndyB80nEItIoR9iQpMCF0ppa8MWfSJ64ijd3W9xRBlX0vd4xjhtpVZmhbSYsNxwWBHr4aq2+nb&#10;Ksi7i6Wnr5/aHI6ZRJcPb3MYlHpYTS/PIAJN4T/8137XCrICfr/EHyB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F1JfEAAAA2wAAAA8AAAAAAAAAAAAAAAAAmAIAAGRycy9k&#10;b3ducmV2LnhtbFBLBQYAAAAABAAEAPUAAACJAwAAAAA=&#10;" fillcolor="#3cc" strokeweight="1.25pt">
                  <v:fill opacity="15163f"/>
                  <v:stroke dashstyle="1 1" endcap="round"/>
                  <v:textbox inset="0,0,0,0">
                    <w:txbxContent>
                      <w:p w:rsidR="00BA4B71" w:rsidRPr="00C7062B" w:rsidRDefault="00BA4B71" w:rsidP="00C7062B">
                        <w:pPr>
                          <w:autoSpaceDE w:val="0"/>
                          <w:autoSpaceDN w:val="0"/>
                          <w:adjustRightInd w:val="0"/>
                          <w:spacing w:before="60"/>
                          <w:jc w:val="center"/>
                          <w:rPr>
                            <w:color w:val="000000"/>
                            <w:sz w:val="18"/>
                            <w:szCs w:val="18"/>
                          </w:rPr>
                        </w:pPr>
                        <w:r>
                          <w:rPr>
                            <w:color w:val="000000"/>
                            <w:sz w:val="18"/>
                            <w:szCs w:val="18"/>
                          </w:rPr>
                          <w:t xml:space="preserve">WEQ/RMQ </w:t>
                        </w:r>
                        <w:r w:rsidRPr="00C7062B">
                          <w:rPr>
                            <w:color w:val="000000"/>
                            <w:sz w:val="18"/>
                            <w:szCs w:val="18"/>
                          </w:rPr>
                          <w:t>PAP 10 Smart Grid Standards Subcommittee (***)</w:t>
                        </w:r>
                      </w:p>
                    </w:txbxContent>
                  </v:textbox>
                </v:roundrect>
                <v:line id="Line 281" o:spid="_x0000_s1049" style="position:absolute;flip:x;visibility:visible;mso-wrap-style:square" from="20478,45976" to="23812,45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6BMvcIAAADbAAAADwAAAGRycy9kb3ducmV2LnhtbESPQYvCMBSE7wv+h/CEva2pPehSjSKC&#10;oOweXBW8PprXpti8lCTa+u/NwsIeh5n5hlmuB9uKB/nQOFYwnWQgiEunG64VXM67j08QISJrbB2T&#10;gicFWK9Gb0sstOv5hx6nWIsE4VCgAhNjV0gZSkMWw8R1xMmrnLcYk/S11B77BLetzLNsJi02nBYM&#10;drQ1VN5Od6tAHr76o9/ll6qu9p27Hsz3rB+Ueh8PmwWISEP8D/+191pBPoffL+kHyN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6BMvcIAAADbAAAADwAAAAAAAAAAAAAA&#10;AAChAgAAZHJzL2Rvd25yZXYueG1sUEsFBgAAAAAEAAQA+QAAAJADAAAAAA==&#10;" strokeweight="1.5pt"/>
                <v:line id="Line 277" o:spid="_x0000_s1050" style="position:absolute;flip:x;visibility:visible;mso-wrap-style:square" from="20294,6696" to="2400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Yz74AAADbAAAADwAAAGRycy9kb3ducmV2LnhtbERPTYvCMBC9C/6HMMLeNLUHWbpGEUFQ&#10;9OCqsNehmTbFZlKSaOu/3xwEj4/3vVwPthVP8qFxrGA+y0AQl043XCu4XXfTbxAhImtsHZOCFwVY&#10;r8ajJRba9fxLz0usRQrhUKACE2NXSBlKQxbDzHXEiauctxgT9LXUHvsUbluZZ9lCWmw4NRjsaGuo&#10;vF8eVoE8HPuz3+W3qq72nfs7mNOiH5T6mgybHxCRhvgRv917rSBPY9OX9APk6h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SP9jPvgAAANsAAAAPAAAAAAAAAAAAAAAAAKEC&#10;AABkcnMvZG93bnJldi54bWxQSwUGAAAAAAQABAD5AAAAjAMAAAAA&#10;" strokeweight="1.5pt"/>
                <v:line id="Line 279" o:spid="_x0000_s1051" style="position:absolute;flip:x;visibility:visible;mso-wrap-style:square" from="20618,41619" to="23952,41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N9VMIAAADbAAAADwAAAGRycy9kb3ducmV2LnhtbESPQYvCMBSE7wv+h/CEva2pPYhbjSKC&#10;oOweXBW8PprXpti8lCTa+u/NwsIeh5n5hlmuB9uKB/nQOFYwnWQgiEunG64VXM67jzmIEJE1to5J&#10;wZMCrFejtyUW2vX8Q49TrEWCcChQgYmxK6QMpSGLYeI64uRVzluMSfpaao99gttW5lk2kxYbTgsG&#10;O9oaKm+nu1UgD1/90e/yS1VX+85dD+Z71g9KvY+HzQJEpCH+h//ae60g/4TfL+kHyN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XN9VMIAAADbAAAADwAAAAAAAAAAAAAA&#10;AAChAgAAZHJzL2Rvd25yZXYueG1sUEsFBgAAAAAEAAQA+QAAAJADAAAAAA==&#10;" strokeweight="1.5pt"/>
                <v:line id="Straight Connector 37" o:spid="_x0000_s1052" style="position:absolute;flip:y;visibility:visible;mso-wrap-style:square" from="20294,6696" to="20478,51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BCFL8AAADbAAAADwAAAGRycy9kb3ducmV2LnhtbERPTYvCMBC9L/gfwgje1lQFWapRRBAU&#10;9+Cq4HVopk2xmZQk2vrvzWHB4+N9L9e9bcSTfKgdK5iMMxDEhdM1Vwqul933D4gQkTU2jknBiwKs&#10;V4OvJebadfxHz3OsRArhkKMCE2ObSxkKQxbD2LXEiSudtxgT9JXUHrsUbhs5zbK5tFhzajDY0tZQ&#10;cT8/rAJ5OHYnv5tey6rct+52ML/zrldqNOw3CxCR+vgR/7v3WsEsrU9f0g+Qqz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ZBCFL8AAADbAAAADwAAAAAAAAAAAAAAAACh&#10;AgAAZHJzL2Rvd25yZXYueG1sUEsFBgAAAAAEAAQA+QAAAI0DAAAAAA==&#10;" strokeweight="1.5pt"/>
                <v:roundrect id="AutoShape 269" o:spid="_x0000_s1053" style="position:absolute;left:24206;top:49270;width:31095;height:321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LNUcIA&#10;AADbAAAADwAAAGRycy9kb3ducmV2LnhtbESPS4sCMRCE74L/IbTgTTM+UBmNIorLsgjiA7w2k54H&#10;TjrjJKvjv98sCB6LqvqKWqwaU4oH1a6wrGDQj0AQJ1YXnCm4nHe9GQjnkTWWlknBixyslu3WAmNt&#10;n3ykx8lnIkDYxagg976KpXRJTgZd31bEwUttbdAHWWdS1/gMcFPKYRRNpMGCw0KOFW1ySm6nX6Pg&#10;ft2naOXm8jrwlr6mMxqnP6RUt9Os5yA8Nf4Tfre/tYLRGP6/hB8g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Ms1RwgAAANsAAAAPAAAAAAAAAAAAAAAAAJgCAABkcnMvZG93&#10;bnJldi54bWxQSwUGAAAAAAQABAD1AAAAhwMAAAAA&#10;" fillcolor="#ccecff" strokeweight="1.25pt">
                  <v:textbox inset="0,0,0,0">
                    <w:txbxContent>
                      <w:p w:rsidR="00BA4B71" w:rsidRDefault="00BA4B71" w:rsidP="00BA4B71">
                        <w:pPr>
                          <w:pStyle w:val="NormalWeb"/>
                          <w:spacing w:before="0" w:beforeAutospacing="0" w:after="0" w:afterAutospacing="0"/>
                          <w:jc w:val="center"/>
                        </w:pPr>
                        <w:r>
                          <w:rPr>
                            <w:rFonts w:eastAsia="Times New Roman"/>
                            <w:color w:val="000000"/>
                            <w:sz w:val="8"/>
                            <w:szCs w:val="8"/>
                          </w:rPr>
                          <w:t> </w:t>
                        </w:r>
                      </w:p>
                      <w:p w:rsidR="00BA4B71" w:rsidRDefault="00BA4B71" w:rsidP="00BA4B71">
                        <w:pPr>
                          <w:pStyle w:val="NormalWeb"/>
                          <w:spacing w:before="0" w:beforeAutospacing="0" w:after="0" w:afterAutospacing="0"/>
                          <w:jc w:val="center"/>
                        </w:pPr>
                        <w:r>
                          <w:rPr>
                            <w:rFonts w:eastAsia="Times New Roman"/>
                            <w:color w:val="000000"/>
                            <w:sz w:val="18"/>
                            <w:szCs w:val="18"/>
                          </w:rPr>
                          <w:t>FERC Forms Subcommittee</w:t>
                        </w:r>
                      </w:p>
                    </w:txbxContent>
                  </v:textbox>
                </v:roundrect>
                <v:line id="Line 281" o:spid="_x0000_s1054" style="position:absolute;flip:x;visibility:visible;mso-wrap-style:square" from="20472,51021" to="23806,51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fhjMMAAADbAAAADwAAAGRycy9kb3ducmV2LnhtbESPQWsCMRSE7wX/Q3iCt5pVqchqFBEE&#10;xR5aFbw+Nm83i5uXJYnu+u+bQqHHYWa+YVab3jbiST7UjhVMxhkI4sLpmisF18v+fQEiRGSNjWNS&#10;8KIAm/XgbYW5dh1/0/McK5EgHHJUYGJscylDYchiGLuWOHml8xZjkr6S2mOX4LaR0yybS4s1pwWD&#10;Le0MFffzwyqQx1P35ffTa1mVh9bdjuZz3vVKjYb9dgkiUh//w3/tg1Yw+4D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nn4YzDAAAA2wAAAA8AAAAAAAAAAAAA&#10;AAAAoQIAAGRycy9kb3ducmV2LnhtbFBLBQYAAAAABAAEAPkAAACRAwAAAAA=&#10;" strokeweight="1.5pt"/>
                <w10:anchorlock/>
              </v:group>
            </w:pict>
          </mc:Fallback>
        </mc:AlternateContent>
      </w:r>
    </w:p>
    <w:p w:rsidR="002C55F4" w:rsidRDefault="002C55F4">
      <w:pPr>
        <w:pStyle w:val="BodyText"/>
        <w:keepNext/>
        <w:pageBreakBefore/>
        <w:jc w:val="both"/>
        <w:rPr>
          <w:sz w:val="18"/>
          <w:szCs w:val="18"/>
        </w:rPr>
      </w:pPr>
      <w:r>
        <w:rPr>
          <w:b/>
          <w:sz w:val="18"/>
          <w:szCs w:val="18"/>
        </w:rPr>
        <w:lastRenderedPageBreak/>
        <w:t>NAESB WEQ EC and Active Subcommittee Leadership</w:t>
      </w:r>
      <w:r>
        <w:rPr>
          <w:sz w:val="18"/>
          <w:szCs w:val="18"/>
        </w:rPr>
        <w:t>:</w:t>
      </w:r>
    </w:p>
    <w:p w:rsidR="002C55F4" w:rsidRDefault="002C55F4">
      <w:pPr>
        <w:pStyle w:val="BodyText"/>
        <w:spacing w:before="120"/>
        <w:rPr>
          <w:sz w:val="18"/>
          <w:szCs w:val="18"/>
        </w:rPr>
      </w:pPr>
      <w:r>
        <w:rPr>
          <w:sz w:val="18"/>
          <w:szCs w:val="18"/>
        </w:rPr>
        <w:t>Executive Committee (EC):  Kathy York (Chair) and Bob Harshbarger (Vice Chair)</w:t>
      </w:r>
    </w:p>
    <w:p w:rsidR="002C55F4" w:rsidRDefault="002C55F4">
      <w:pPr>
        <w:pStyle w:val="BodyText"/>
        <w:ind w:left="180"/>
        <w:rPr>
          <w:sz w:val="18"/>
          <w:szCs w:val="18"/>
        </w:rPr>
      </w:pPr>
      <w:r>
        <w:rPr>
          <w:sz w:val="18"/>
          <w:szCs w:val="18"/>
        </w:rPr>
        <w:t xml:space="preserve">Standards Review Subcommittee (SRS):  </w:t>
      </w:r>
      <w:r w:rsidR="00D766EB">
        <w:rPr>
          <w:sz w:val="18"/>
          <w:szCs w:val="18"/>
        </w:rPr>
        <w:t xml:space="preserve">Rebecca </w:t>
      </w:r>
      <w:proofErr w:type="spellStart"/>
      <w:r w:rsidR="00D766EB">
        <w:rPr>
          <w:sz w:val="18"/>
          <w:szCs w:val="18"/>
        </w:rPr>
        <w:t>Berdahl</w:t>
      </w:r>
      <w:proofErr w:type="spellEnd"/>
    </w:p>
    <w:p w:rsidR="002C55F4" w:rsidRDefault="002C55F4">
      <w:pPr>
        <w:pStyle w:val="BodyText"/>
        <w:ind w:left="180"/>
        <w:rPr>
          <w:sz w:val="18"/>
          <w:szCs w:val="18"/>
        </w:rPr>
      </w:pPr>
      <w:r>
        <w:rPr>
          <w:sz w:val="18"/>
          <w:szCs w:val="18"/>
        </w:rPr>
        <w:t>Interpretations Subcommittee:   Ed Skiba</w:t>
      </w:r>
    </w:p>
    <w:p w:rsidR="002C55F4" w:rsidRDefault="002C55F4">
      <w:pPr>
        <w:pStyle w:val="BodyText"/>
        <w:ind w:left="180"/>
        <w:rPr>
          <w:sz w:val="18"/>
          <w:szCs w:val="18"/>
        </w:rPr>
      </w:pPr>
      <w:r>
        <w:rPr>
          <w:sz w:val="18"/>
          <w:szCs w:val="18"/>
        </w:rPr>
        <w:t xml:space="preserve">Business Practices Subcommittee (BPS) &amp; Time and Inadvertent Management Task Force (TIMTF): </w:t>
      </w:r>
      <w:r w:rsidR="007A569C">
        <w:rPr>
          <w:sz w:val="18"/>
          <w:szCs w:val="18"/>
        </w:rPr>
        <w:t>Jason Davis</w:t>
      </w:r>
      <w:r>
        <w:rPr>
          <w:sz w:val="18"/>
          <w:szCs w:val="18"/>
        </w:rPr>
        <w:t xml:space="preserve">, </w:t>
      </w:r>
      <w:r w:rsidR="00D766EB">
        <w:rPr>
          <w:sz w:val="18"/>
          <w:szCs w:val="18"/>
        </w:rPr>
        <w:t xml:space="preserve">Ross Kovacs, </w:t>
      </w:r>
      <w:r>
        <w:rPr>
          <w:sz w:val="18"/>
          <w:szCs w:val="18"/>
        </w:rPr>
        <w:t>Narinder Saini</w:t>
      </w:r>
    </w:p>
    <w:p w:rsidR="002C55F4" w:rsidRDefault="002C55F4">
      <w:pPr>
        <w:pStyle w:val="BodyText"/>
        <w:ind w:left="180"/>
        <w:rPr>
          <w:sz w:val="18"/>
          <w:szCs w:val="18"/>
        </w:rPr>
      </w:pPr>
      <w:r>
        <w:rPr>
          <w:sz w:val="18"/>
          <w:szCs w:val="18"/>
        </w:rPr>
        <w:t>Open Access Same Time Information System (OASIS) Subcommittee: J.T. Wood, Alan Pritchard</w:t>
      </w:r>
    </w:p>
    <w:p w:rsidR="002C55F4" w:rsidRDefault="00371BE9">
      <w:pPr>
        <w:pStyle w:val="BodyText"/>
        <w:ind w:left="180"/>
        <w:rPr>
          <w:sz w:val="18"/>
          <w:szCs w:val="18"/>
        </w:rPr>
      </w:pPr>
      <w:r>
        <w:rPr>
          <w:sz w:val="18"/>
          <w:szCs w:val="18"/>
        </w:rPr>
        <w:t xml:space="preserve">Coordinate Interchange Scheduling </w:t>
      </w:r>
      <w:r w:rsidR="002C55F4">
        <w:rPr>
          <w:sz w:val="18"/>
          <w:szCs w:val="18"/>
        </w:rPr>
        <w:t>Subcommittee (</w:t>
      </w:r>
      <w:r>
        <w:rPr>
          <w:sz w:val="18"/>
          <w:szCs w:val="18"/>
        </w:rPr>
        <w:t>CISS</w:t>
      </w:r>
      <w:r w:rsidR="002C55F4">
        <w:rPr>
          <w:sz w:val="18"/>
          <w:szCs w:val="18"/>
        </w:rPr>
        <w:t xml:space="preserve">):  Bob Harshbarger, </w:t>
      </w:r>
      <w:r w:rsidR="00594B5F">
        <w:rPr>
          <w:sz w:val="18"/>
          <w:szCs w:val="18"/>
        </w:rPr>
        <w:t>Joshua Phillips</w:t>
      </w:r>
      <w:r w:rsidR="002C55F4">
        <w:rPr>
          <w:sz w:val="18"/>
          <w:szCs w:val="18"/>
        </w:rPr>
        <w:t xml:space="preserve"> </w:t>
      </w:r>
    </w:p>
    <w:p w:rsidR="002C55F4" w:rsidRDefault="006F7BEA">
      <w:pPr>
        <w:pStyle w:val="BodyText"/>
        <w:ind w:left="180"/>
        <w:rPr>
          <w:sz w:val="18"/>
          <w:szCs w:val="18"/>
        </w:rPr>
      </w:pPr>
      <w:r>
        <w:rPr>
          <w:sz w:val="18"/>
          <w:szCs w:val="18"/>
        </w:rPr>
        <w:t>Cyber</w:t>
      </w:r>
      <w:r w:rsidR="00807D33">
        <w:rPr>
          <w:sz w:val="18"/>
          <w:szCs w:val="18"/>
        </w:rPr>
        <w:t>s</w:t>
      </w:r>
      <w:r>
        <w:rPr>
          <w:sz w:val="18"/>
          <w:szCs w:val="18"/>
        </w:rPr>
        <w:t>ecurity</w:t>
      </w:r>
      <w:r w:rsidR="002C55F4">
        <w:rPr>
          <w:sz w:val="18"/>
          <w:szCs w:val="18"/>
        </w:rPr>
        <w:t xml:space="preserve"> Subcommittee: Jim Buccigross</w:t>
      </w:r>
    </w:p>
    <w:p w:rsidR="00807D33" w:rsidRDefault="00807D33" w:rsidP="00807D33">
      <w:pPr>
        <w:pStyle w:val="BodyText"/>
        <w:ind w:left="180"/>
        <w:rPr>
          <w:sz w:val="18"/>
          <w:szCs w:val="18"/>
        </w:rPr>
      </w:pPr>
      <w:r>
        <w:rPr>
          <w:sz w:val="18"/>
          <w:szCs w:val="18"/>
        </w:rPr>
        <w:t>Demand Side Management-Energy Efficiency (DSM-EE) REQ/WEQ Subcommittee: Roy True (WEQ), Paul Wattles (WEQ), and Eric Winkler (</w:t>
      </w:r>
      <w:r w:rsidR="0043417C">
        <w:rPr>
          <w:sz w:val="18"/>
          <w:szCs w:val="18"/>
        </w:rPr>
        <w:t>RMQ</w:t>
      </w:r>
      <w:r>
        <w:rPr>
          <w:sz w:val="18"/>
          <w:szCs w:val="18"/>
        </w:rPr>
        <w:t>)</w:t>
      </w:r>
    </w:p>
    <w:p w:rsidR="00AC081C" w:rsidRDefault="00AC081C" w:rsidP="005E5198">
      <w:pPr>
        <w:pStyle w:val="BodyText"/>
        <w:spacing w:before="40" w:after="40"/>
        <w:ind w:firstLine="180"/>
        <w:rPr>
          <w:sz w:val="18"/>
          <w:szCs w:val="18"/>
        </w:rPr>
      </w:pPr>
      <w:r>
        <w:rPr>
          <w:sz w:val="18"/>
          <w:szCs w:val="18"/>
        </w:rPr>
        <w:t>FERC Forms Subcommittee (WEQ/WGQ): Leigh Spangler (WGQ), Dick Brooks (WEQ)</w:t>
      </w:r>
    </w:p>
    <w:p w:rsidR="00AC081C" w:rsidRDefault="00AC081C" w:rsidP="00807D33">
      <w:pPr>
        <w:pStyle w:val="BodyText"/>
        <w:ind w:left="180"/>
        <w:rPr>
          <w:sz w:val="18"/>
          <w:szCs w:val="18"/>
        </w:rPr>
      </w:pPr>
    </w:p>
    <w:p w:rsidR="00807D33" w:rsidRDefault="00807D33">
      <w:pPr>
        <w:pStyle w:val="BodyText"/>
        <w:ind w:left="180"/>
        <w:rPr>
          <w:sz w:val="18"/>
          <w:szCs w:val="18"/>
        </w:rPr>
      </w:pPr>
    </w:p>
    <w:p w:rsidR="002C55F4" w:rsidRDefault="002C55F4">
      <w:pPr>
        <w:keepNext/>
        <w:widowControl w:val="0"/>
        <w:spacing w:before="60"/>
        <w:rPr>
          <w:sz w:val="18"/>
          <w:szCs w:val="18"/>
        </w:rPr>
      </w:pPr>
      <w:r>
        <w:rPr>
          <w:sz w:val="18"/>
          <w:szCs w:val="18"/>
        </w:rPr>
        <w:t>Inactive Subcommittees:</w:t>
      </w:r>
    </w:p>
    <w:p w:rsidR="002C55F4" w:rsidRDefault="002C55F4" w:rsidP="001F0C92">
      <w:pPr>
        <w:pStyle w:val="BodyText"/>
        <w:ind w:left="270" w:hanging="90"/>
        <w:rPr>
          <w:sz w:val="18"/>
          <w:szCs w:val="18"/>
        </w:rPr>
      </w:pPr>
      <w:proofErr w:type="gramStart"/>
      <w:r>
        <w:rPr>
          <w:sz w:val="18"/>
          <w:szCs w:val="18"/>
        </w:rPr>
        <w:t>e-Tariff</w:t>
      </w:r>
      <w:proofErr w:type="gramEnd"/>
      <w:r>
        <w:rPr>
          <w:sz w:val="18"/>
          <w:szCs w:val="18"/>
        </w:rPr>
        <w:t xml:space="preserve"> Joint WEQ/WGQ Subcommittee (e-Tariff):  Keith Sappenfield (WGQ)</w:t>
      </w:r>
    </w:p>
    <w:p w:rsidR="002C55F4" w:rsidRDefault="002C55F4">
      <w:pPr>
        <w:pStyle w:val="BodyText"/>
        <w:ind w:left="270"/>
        <w:rPr>
          <w:sz w:val="18"/>
          <w:szCs w:val="18"/>
        </w:rPr>
      </w:pPr>
    </w:p>
    <w:p w:rsidR="002C55F4" w:rsidRDefault="002C55F4">
      <w:pPr>
        <w:widowControl w:val="0"/>
        <w:spacing w:before="240"/>
        <w:ind w:left="540" w:hanging="540"/>
        <w:rPr>
          <w:sz w:val="18"/>
          <w:szCs w:val="18"/>
        </w:rPr>
      </w:pPr>
      <w:r>
        <w:rPr>
          <w:sz w:val="18"/>
          <w:szCs w:val="18"/>
        </w:rPr>
        <w:t xml:space="preserve">(**)  </w:t>
      </w:r>
      <w:r>
        <w:rPr>
          <w:sz w:val="18"/>
          <w:szCs w:val="18"/>
        </w:rPr>
        <w:tab/>
        <w:t xml:space="preserve">The Smart Grid Standards Subcommittee is a joint group of the retail electric and wholesale electric quadrants with other standards development groups such as OASIS (Organization for the Advancement of Structured Information Standards, not Open Access Same Time Information Systems related to NAESB standards and FERC actions), </w:t>
      </w:r>
      <w:proofErr w:type="spellStart"/>
      <w:r>
        <w:rPr>
          <w:sz w:val="18"/>
          <w:szCs w:val="18"/>
        </w:rPr>
        <w:t>CalConnect</w:t>
      </w:r>
      <w:proofErr w:type="spellEnd"/>
      <w:r>
        <w:rPr>
          <w:sz w:val="18"/>
          <w:szCs w:val="18"/>
        </w:rPr>
        <w:t xml:space="preserve">, FIX and </w:t>
      </w:r>
      <w:proofErr w:type="spellStart"/>
      <w:r>
        <w:rPr>
          <w:sz w:val="18"/>
          <w:szCs w:val="18"/>
        </w:rPr>
        <w:t>UCAIug</w:t>
      </w:r>
      <w:proofErr w:type="spellEnd"/>
      <w:r>
        <w:rPr>
          <w:sz w:val="18"/>
          <w:szCs w:val="18"/>
        </w:rPr>
        <w:t>, among others.  Direction may be given from NIST, DoE or FERC and the group reports jointly to the NAESB Board Smart Grid Strategic Steering Committee and the WEQ and R</w:t>
      </w:r>
      <w:r w:rsidR="0043417C">
        <w:rPr>
          <w:sz w:val="18"/>
          <w:szCs w:val="18"/>
        </w:rPr>
        <w:t>M</w:t>
      </w:r>
      <w:r>
        <w:rPr>
          <w:sz w:val="18"/>
          <w:szCs w:val="18"/>
        </w:rPr>
        <w:t xml:space="preserve">Q ECs.  </w:t>
      </w:r>
    </w:p>
    <w:p w:rsidR="002C55F4" w:rsidRDefault="002C55F4">
      <w:pPr>
        <w:widowControl w:val="0"/>
        <w:spacing w:before="240"/>
        <w:ind w:left="540" w:hanging="540"/>
        <w:rPr>
          <w:sz w:val="18"/>
          <w:szCs w:val="18"/>
        </w:rPr>
      </w:pPr>
      <w:r>
        <w:rPr>
          <w:sz w:val="18"/>
          <w:szCs w:val="18"/>
        </w:rPr>
        <w:t xml:space="preserve">(***)  </w:t>
      </w:r>
      <w:r>
        <w:rPr>
          <w:sz w:val="18"/>
          <w:szCs w:val="18"/>
        </w:rPr>
        <w:tab/>
        <w:t xml:space="preserve">The PAP 10 Smart Grid Standards Subcommittee is a joint group of the retail electric and wholesale electric quadrants with other standards development groups such as OASIS, </w:t>
      </w:r>
      <w:proofErr w:type="spellStart"/>
      <w:r>
        <w:rPr>
          <w:sz w:val="18"/>
          <w:szCs w:val="18"/>
        </w:rPr>
        <w:t>UCAIug</w:t>
      </w:r>
      <w:proofErr w:type="spellEnd"/>
      <w:r>
        <w:rPr>
          <w:sz w:val="18"/>
          <w:szCs w:val="18"/>
        </w:rPr>
        <w:t xml:space="preserve">, </w:t>
      </w:r>
      <w:proofErr w:type="spellStart"/>
      <w:r>
        <w:rPr>
          <w:sz w:val="18"/>
          <w:szCs w:val="18"/>
        </w:rPr>
        <w:t>OpenADE</w:t>
      </w:r>
      <w:proofErr w:type="spellEnd"/>
      <w:r>
        <w:rPr>
          <w:sz w:val="18"/>
          <w:szCs w:val="18"/>
        </w:rPr>
        <w:t xml:space="preserve">, ZigBee, ASHRAE, EIS Alliance, </w:t>
      </w:r>
      <w:proofErr w:type="gramStart"/>
      <w:r>
        <w:rPr>
          <w:sz w:val="18"/>
          <w:szCs w:val="18"/>
        </w:rPr>
        <w:t>NARUC</w:t>
      </w:r>
      <w:proofErr w:type="gramEnd"/>
      <w:r>
        <w:rPr>
          <w:sz w:val="18"/>
          <w:szCs w:val="18"/>
        </w:rPr>
        <w:t xml:space="preserve"> and includes other groups.  Direction may be given from NIST, DoE or FERC and the group reports jointly to the NAESB Board Smart Grid Strategic Steering Committee and the WEQ and R</w:t>
      </w:r>
      <w:r w:rsidR="0043417C">
        <w:rPr>
          <w:sz w:val="18"/>
          <w:szCs w:val="18"/>
        </w:rPr>
        <w:t>M</w:t>
      </w:r>
      <w:r>
        <w:rPr>
          <w:sz w:val="18"/>
          <w:szCs w:val="18"/>
        </w:rPr>
        <w:t>Q</w:t>
      </w:r>
      <w:r w:rsidR="0077578D">
        <w:rPr>
          <w:sz w:val="18"/>
          <w:szCs w:val="18"/>
        </w:rPr>
        <w:t xml:space="preserve"> </w:t>
      </w:r>
      <w:r>
        <w:rPr>
          <w:sz w:val="18"/>
          <w:szCs w:val="18"/>
        </w:rPr>
        <w:t xml:space="preserve">ECs.   </w:t>
      </w:r>
    </w:p>
    <w:p w:rsidR="002C55F4" w:rsidRDefault="002C55F4" w:rsidP="008F7356"/>
    <w:sectPr w:rsidR="002C55F4" w:rsidSect="00EF22C9">
      <w:headerReference w:type="default" r:id="rId31"/>
      <w:footerReference w:type="default" r:id="rId32"/>
      <w:endnotePr>
        <w:numFmt w:val="decimal"/>
      </w:endnotePr>
      <w:pgSz w:w="12240" w:h="15840" w:code="1"/>
      <w:pgMar w:top="720" w:right="1440" w:bottom="5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739" w:rsidRDefault="00892739">
      <w:r>
        <w:separator/>
      </w:r>
    </w:p>
  </w:endnote>
  <w:endnote w:type="continuationSeparator" w:id="0">
    <w:p w:rsidR="00892739" w:rsidRDefault="00892739">
      <w:r>
        <w:continuationSeparator/>
      </w:r>
    </w:p>
  </w:endnote>
  <w:endnote w:id="1">
    <w:p w:rsidR="00BA4B71" w:rsidRDefault="00BA4B71">
      <w:pPr>
        <w:pStyle w:val="EndnoteText"/>
        <w:rPr>
          <w:b/>
          <w:sz w:val="18"/>
          <w:szCs w:val="18"/>
        </w:rPr>
      </w:pPr>
    </w:p>
    <w:p w:rsidR="00BA4B71" w:rsidRDefault="00BA4B71">
      <w:pPr>
        <w:pStyle w:val="EndnoteText"/>
        <w:rPr>
          <w:b/>
          <w:sz w:val="18"/>
          <w:szCs w:val="18"/>
        </w:rPr>
      </w:pPr>
      <w:r>
        <w:rPr>
          <w:b/>
          <w:sz w:val="18"/>
          <w:szCs w:val="18"/>
        </w:rPr>
        <w:t>End Notes WEQ 2015 Annual Plan:</w:t>
      </w:r>
    </w:p>
    <w:p w:rsidR="00BA4B71" w:rsidRDefault="00BA4B71">
      <w:pPr>
        <w:pStyle w:val="EndnoteText"/>
        <w:jc w:val="left"/>
      </w:pPr>
      <w:r>
        <w:rPr>
          <w:rStyle w:val="EndnoteReference"/>
          <w:sz w:val="18"/>
          <w:szCs w:val="18"/>
        </w:rPr>
        <w:endnoteRef/>
      </w:r>
      <w:r>
        <w:rPr>
          <w:sz w:val="18"/>
          <w:szCs w:val="18"/>
        </w:rPr>
        <w:t xml:space="preserve"> Dates in the completion column are by end of the quarter for completion by the assigned committee, sub-committee or task force.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rsidR="00BA4B71" w:rsidRDefault="00BA4B71">
      <w:pPr>
        <w:pStyle w:val="EndnoteText"/>
        <w:jc w:val="left"/>
      </w:pPr>
      <w:r>
        <w:rPr>
          <w:rStyle w:val="EndnoteReference"/>
          <w:sz w:val="18"/>
          <w:szCs w:val="18"/>
        </w:rPr>
        <w:endnoteRef/>
      </w:r>
      <w:r>
        <w:rPr>
          <w:sz w:val="18"/>
          <w:szCs w:val="18"/>
        </w:rPr>
        <w:t xml:space="preserve"> The assignments are abbreviated.  The abbreviations and sub-committee structure can be found at the end of the annual plan document.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B71" w:rsidRDefault="00BA4B71" w:rsidP="006E12DE">
    <w:pPr>
      <w:pStyle w:val="Footer"/>
      <w:pBdr>
        <w:top w:val="single" w:sz="4" w:space="1" w:color="auto"/>
      </w:pBdr>
      <w:jc w:val="right"/>
      <w:rPr>
        <w:sz w:val="18"/>
        <w:szCs w:val="18"/>
      </w:rPr>
    </w:pPr>
    <w:r>
      <w:rPr>
        <w:sz w:val="18"/>
        <w:szCs w:val="18"/>
      </w:rPr>
      <w:t xml:space="preserve">2015 WEQ Annual Plan Adopted by the Board of Directors on </w:t>
    </w:r>
    <w:r w:rsidR="001421C5">
      <w:rPr>
        <w:sz w:val="18"/>
        <w:szCs w:val="18"/>
      </w:rPr>
      <w:t>December 10</w:t>
    </w:r>
    <w:r>
      <w:rPr>
        <w:sz w:val="18"/>
        <w:szCs w:val="18"/>
      </w:rPr>
      <w:t>, 2015</w:t>
    </w:r>
  </w:p>
  <w:p w:rsidR="00BA4B71" w:rsidRDefault="00BA4B71" w:rsidP="00D15518">
    <w:pPr>
      <w:pStyle w:val="Footer"/>
      <w:pBdr>
        <w:top w:val="single" w:sz="4" w:space="1" w:color="auto"/>
      </w:pBdr>
      <w:jc w:val="right"/>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sidR="00027083">
      <w:rPr>
        <w:noProof/>
        <w:sz w:val="18"/>
        <w:szCs w:val="18"/>
      </w:rPr>
      <w:t>2</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027083">
      <w:rPr>
        <w:noProof/>
        <w:sz w:val="18"/>
        <w:szCs w:val="18"/>
      </w:rPr>
      <w:t>8</w: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739" w:rsidRDefault="00892739">
      <w:r>
        <w:separator/>
      </w:r>
    </w:p>
  </w:footnote>
  <w:footnote w:type="continuationSeparator" w:id="0">
    <w:p w:rsidR="00892739" w:rsidRDefault="00892739">
      <w:r>
        <w:continuationSeparator/>
      </w:r>
    </w:p>
  </w:footnote>
  <w:footnote w:id="1">
    <w:p w:rsidR="00BA4B71" w:rsidRDefault="00BA4B71">
      <w:pPr>
        <w:pStyle w:val="FootnoteText"/>
        <w:spacing w:before="60"/>
        <w:jc w:val="left"/>
      </w:pPr>
      <w:r>
        <w:rPr>
          <w:rStyle w:val="FootnoteReference"/>
          <w:rFonts w:ascii="Times New Roman" w:hAnsi="Times New Roman"/>
          <w:sz w:val="16"/>
          <w:szCs w:val="16"/>
        </w:rPr>
        <w:footnoteRef/>
      </w:r>
      <w:r>
        <w:rPr>
          <w:rFonts w:ascii="Times New Roman" w:hAnsi="Times New Roman"/>
          <w:sz w:val="16"/>
          <w:szCs w:val="16"/>
        </w:rPr>
        <w:t xml:space="preserve"> In some sections of WEQ-008 it appears that the standards are applicable to all of the Interconnections and other it appears that the standards are only applicable to the Eastern Interconnection.  The title indicates the standards are applicable to the Eastern Interconnection.</w:t>
      </w:r>
    </w:p>
  </w:footnote>
  <w:footnote w:id="2">
    <w:p w:rsidR="00BA4B71" w:rsidRPr="002562E0" w:rsidRDefault="00BA4B71" w:rsidP="001D63A5">
      <w:pPr>
        <w:pStyle w:val="FootnoteText"/>
        <w:rPr>
          <w:rFonts w:ascii="Times New Roman" w:hAnsi="Times New Roman"/>
          <w:sz w:val="16"/>
          <w:szCs w:val="16"/>
        </w:rPr>
      </w:pPr>
      <w:r w:rsidRPr="002562E0">
        <w:rPr>
          <w:rStyle w:val="FootnoteReference"/>
          <w:rFonts w:ascii="Times New Roman" w:hAnsi="Times New Roman"/>
          <w:sz w:val="16"/>
          <w:szCs w:val="16"/>
        </w:rPr>
        <w:footnoteRef/>
      </w:r>
      <w:r>
        <w:rPr>
          <w:rFonts w:ascii="Times New Roman" w:hAnsi="Times New Roman"/>
          <w:sz w:val="16"/>
          <w:szCs w:val="16"/>
        </w:rPr>
        <w:t xml:space="preserve">The FERC NOPR issued June 19, 2014, available at the following link: </w:t>
      </w:r>
      <w:hyperlink r:id="rId1" w:history="1">
        <w:r w:rsidRPr="00027A70">
          <w:rPr>
            <w:rStyle w:val="Hyperlink"/>
            <w:rFonts w:ascii="Times New Roman" w:hAnsi="Times New Roman"/>
            <w:sz w:val="16"/>
            <w:szCs w:val="16"/>
          </w:rPr>
          <w:t>http://www.ferc.gov/whats-new/comm-meet/2014/061914/E-17.pdf</w:t>
        </w:r>
      </w:hyperlink>
      <w:r>
        <w:rPr>
          <w:rFonts w:ascii="Times New Roman" w:hAnsi="Times New Roman"/>
          <w:sz w:val="16"/>
          <w:szCs w:val="16"/>
        </w:rPr>
        <w:t>.</w:t>
      </w:r>
    </w:p>
  </w:footnote>
  <w:footnote w:id="3">
    <w:p w:rsidR="00BA4B71" w:rsidRDefault="00BA4B71">
      <w:pPr>
        <w:pStyle w:val="FootnoteText"/>
        <w:spacing w:before="60"/>
        <w:jc w:val="left"/>
      </w:pPr>
      <w:r>
        <w:rPr>
          <w:rStyle w:val="FootnoteReference"/>
          <w:rFonts w:ascii="Times New Roman" w:hAnsi="Times New Roman"/>
          <w:sz w:val="16"/>
          <w:szCs w:val="16"/>
        </w:rPr>
        <w:footnoteRef/>
      </w:r>
      <w:r>
        <w:rPr>
          <w:rFonts w:ascii="Times New Roman" w:hAnsi="Times New Roman"/>
          <w:sz w:val="16"/>
          <w:szCs w:val="16"/>
        </w:rPr>
        <w:t xml:space="preserve"> </w:t>
      </w:r>
      <w:r w:rsidRPr="006D1FEF">
        <w:rPr>
          <w:rFonts w:ascii="Times New Roman" w:hAnsi="Times New Roman"/>
          <w:sz w:val="16"/>
          <w:szCs w:val="16"/>
        </w:rPr>
        <w:t>FERC Order No. 890, issued February 16, 2007</w:t>
      </w:r>
      <w:r>
        <w:rPr>
          <w:rFonts w:ascii="Times New Roman" w:hAnsi="Times New Roman"/>
          <w:sz w:val="16"/>
          <w:szCs w:val="16"/>
        </w:rPr>
        <w:t>,</w:t>
      </w:r>
      <w:r w:rsidRPr="006D1FEF">
        <w:rPr>
          <w:rFonts w:ascii="Times New Roman" w:hAnsi="Times New Roman"/>
          <w:sz w:val="16"/>
          <w:szCs w:val="16"/>
        </w:rPr>
        <w:t xml:space="preserve"> can be accessed from the following link</w:t>
      </w:r>
      <w:r>
        <w:rPr>
          <w:rFonts w:ascii="Times New Roman" w:hAnsi="Times New Roman"/>
          <w:sz w:val="16"/>
          <w:szCs w:val="16"/>
        </w:rPr>
        <w:t xml:space="preserve">: </w:t>
      </w:r>
      <w:hyperlink r:id="rId2" w:history="1">
        <w:r w:rsidRPr="006D1FEF">
          <w:rPr>
            <w:rStyle w:val="Hyperlink"/>
            <w:rFonts w:ascii="Times New Roman" w:hAnsi="Times New Roman"/>
            <w:sz w:val="16"/>
            <w:szCs w:val="16"/>
          </w:rPr>
          <w:t>http://www.naesb.org/doc_view4.asp?doc=ferc021607.doc</w:t>
        </w:r>
      </w:hyperlink>
      <w:r w:rsidRPr="006D1FEF">
        <w:rPr>
          <w:rFonts w:ascii="Times New Roman" w:hAnsi="Times New Roman"/>
          <w:sz w:val="16"/>
          <w:szCs w:val="16"/>
        </w:rPr>
        <w:t>.</w:t>
      </w:r>
    </w:p>
  </w:footnote>
  <w:footnote w:id="4">
    <w:p w:rsidR="00BA4B71" w:rsidRDefault="00BA4B71">
      <w:pPr>
        <w:pStyle w:val="FootnoteText"/>
        <w:spacing w:before="60"/>
        <w:jc w:val="left"/>
      </w:pPr>
      <w:r>
        <w:rPr>
          <w:rStyle w:val="FootnoteReference"/>
          <w:rFonts w:ascii="Times New Roman" w:hAnsi="Times New Roman"/>
          <w:sz w:val="16"/>
          <w:szCs w:val="16"/>
        </w:rPr>
        <w:footnoteRef/>
      </w:r>
      <w:r>
        <w:rPr>
          <w:rFonts w:ascii="Times New Roman" w:hAnsi="Times New Roman"/>
          <w:sz w:val="16"/>
          <w:szCs w:val="16"/>
        </w:rPr>
        <w:t xml:space="preserve"> Paragraph 1627 of FERC Order No. 890, issued February 16, 2007: We agree with suggestions for the posting of additional curtailment information on OASIS and, therefore, require transmission providers, working through NAESB, to develop a detailed template for the posting of additional information on OASIS regarding firm transmission curtailments.  Transmission providers need not implement this new OASIS functionality and any related business practices until NAESB develops appropriate standards.  These postings must include all circumstances and events contributing to the need for a firm service curtailment, specific services and customers curtailed (including the transmission provider’s own retail loads), and the duration of the curtailment.  This information is in addition to the Commission’s existing requirements: (1) when any transmission is curtailed or interrupted, the transmission provider must post notice of the curtailment or interruption on OASIS, and the transmission provider must state on OASIS the reason why the transaction could not be continued or completed; (2) information to support any such curtailment or interruption, including the operating status of facilities involved in the constraint or interruption, must be maintained for three years and made available upon request to the curtailed or interrupted customer, the Commission’s Staff, and any other person who requests it; and, (3) any offer to adjust the operation of the transmission provider’s system to restore a curtailed or interrupted transaction must be posted and made available to all curtailed and interrupted transmission customers at the same time.</w:t>
      </w:r>
    </w:p>
  </w:footnote>
  <w:footnote w:id="5">
    <w:p w:rsidR="00BA4B71" w:rsidRDefault="00BA4B71">
      <w:pPr>
        <w:spacing w:before="60"/>
      </w:pPr>
      <w:r>
        <w:rPr>
          <w:rStyle w:val="FootnoteReference"/>
          <w:sz w:val="16"/>
          <w:szCs w:val="16"/>
        </w:rPr>
        <w:footnoteRef/>
      </w:r>
      <w:r>
        <w:rPr>
          <w:sz w:val="16"/>
          <w:szCs w:val="16"/>
        </w:rPr>
        <w:t xml:space="preserve"> </w:t>
      </w:r>
      <w:r w:rsidRPr="00C026E2">
        <w:rPr>
          <w:sz w:val="16"/>
          <w:szCs w:val="16"/>
        </w:rPr>
        <w:t xml:space="preserve">The </w:t>
      </w:r>
      <w:r>
        <w:rPr>
          <w:color w:val="000000"/>
          <w:sz w:val="16"/>
          <w:szCs w:val="16"/>
        </w:rPr>
        <w:t xml:space="preserve">“NAESB Accreditation Requirements for Authorized Certification Authorities” </w:t>
      </w:r>
      <w:r w:rsidRPr="00E446EF">
        <w:rPr>
          <w:color w:val="000000"/>
          <w:sz w:val="16"/>
          <w:szCs w:val="16"/>
        </w:rPr>
        <w:t>can be found at:</w:t>
      </w:r>
      <w:r w:rsidRPr="0074531D">
        <w:rPr>
          <w:color w:val="000000"/>
          <w:sz w:val="16"/>
          <w:szCs w:val="16"/>
        </w:rPr>
        <w:t xml:space="preserve"> </w:t>
      </w:r>
      <w:hyperlink r:id="rId3" w:history="1">
        <w:r w:rsidRPr="00E35E96">
          <w:rPr>
            <w:rStyle w:val="Hyperlink"/>
            <w:sz w:val="16"/>
            <w:szCs w:val="16"/>
          </w:rPr>
          <w:t>http://www.naesb.org/member_login_check.asp?doc=certification_specifications.docx</w:t>
        </w:r>
      </w:hyperlink>
      <w:r w:rsidRPr="00E35E96">
        <w:rPr>
          <w:sz w:val="16"/>
          <w:szCs w:val="16"/>
        </w:rPr>
        <w:t>.</w:t>
      </w:r>
    </w:p>
  </w:footnote>
  <w:footnote w:id="6">
    <w:p w:rsidR="00BA4B71" w:rsidRDefault="00BA4B71">
      <w:pPr>
        <w:pStyle w:val="FootnoteText"/>
        <w:spacing w:before="60"/>
        <w:jc w:val="left"/>
      </w:pPr>
      <w:r>
        <w:rPr>
          <w:rStyle w:val="FootnoteReference"/>
          <w:rFonts w:ascii="Times New Roman" w:hAnsi="Times New Roman"/>
          <w:sz w:val="16"/>
          <w:szCs w:val="16"/>
        </w:rPr>
        <w:footnoteRef/>
      </w:r>
      <w:r>
        <w:rPr>
          <w:rFonts w:ascii="Times New Roman" w:hAnsi="Times New Roman"/>
          <w:sz w:val="16"/>
          <w:szCs w:val="16"/>
        </w:rPr>
        <w:t xml:space="preserve"> 72.</w:t>
      </w:r>
      <w:r>
        <w:rPr>
          <w:rFonts w:ascii="Times New Roman" w:hAnsi="Times New Roman"/>
          <w:sz w:val="16"/>
          <w:szCs w:val="16"/>
        </w:rPr>
        <w:tab/>
        <w:t>However, we reiterate here the Commission’s finding in Order No. 890 that a transmission provider is permitted to extend its right to reassess the availability of conditional firm service.   Since the Version 002.1 Standards do not specifically address this issue, we would ask the industry, working through NAESB, to continue to look at additional business practice standards facilitating a transmission provider’s extension of its right to perform a reassessment.</w:t>
      </w:r>
    </w:p>
  </w:footnote>
  <w:footnote w:id="7">
    <w:p w:rsidR="00BA4B71" w:rsidRPr="00A617C9" w:rsidRDefault="00BA4B71">
      <w:pPr>
        <w:pStyle w:val="FootnoteText"/>
        <w:rPr>
          <w:sz w:val="16"/>
          <w:szCs w:val="16"/>
        </w:rPr>
      </w:pPr>
      <w:r w:rsidRPr="00A617C9">
        <w:rPr>
          <w:rStyle w:val="FootnoteReference"/>
          <w:rFonts w:ascii="Times New Roman" w:hAnsi="Times New Roman"/>
          <w:sz w:val="16"/>
          <w:szCs w:val="16"/>
        </w:rPr>
        <w:footnoteRef/>
      </w:r>
      <w:r w:rsidRPr="00A617C9">
        <w:rPr>
          <w:rStyle w:val="FootnoteReference"/>
          <w:rFonts w:ascii="Times New Roman" w:hAnsi="Times New Roman"/>
          <w:sz w:val="16"/>
          <w:szCs w:val="16"/>
        </w:rPr>
        <w:t xml:space="preserve"> </w:t>
      </w:r>
      <w:r w:rsidRPr="00A617C9">
        <w:rPr>
          <w:rFonts w:ascii="Times New Roman" w:hAnsi="Times New Roman"/>
          <w:sz w:val="16"/>
          <w:szCs w:val="16"/>
        </w:rPr>
        <w:t xml:space="preserve">The FERC Order Instituting Proceeding to Develop Electronic Filing Protocols for Commission Forms, issued on April 16, 2015, can be found through the following hyperlink: </w:t>
      </w:r>
      <w:hyperlink r:id="rId4" w:history="1">
        <w:r w:rsidRPr="00A617C9">
          <w:rPr>
            <w:rStyle w:val="Hyperlink"/>
            <w:rFonts w:ascii="Times New Roman" w:hAnsi="Times New Roman"/>
            <w:sz w:val="16"/>
            <w:szCs w:val="16"/>
          </w:rPr>
          <w:t>https://www.naesb.org/pdf4/ferc041615_electronic_filing_protocols_forms.pdf</w:t>
        </w:r>
      </w:hyperlink>
      <w:r w:rsidRPr="00A617C9">
        <w:rPr>
          <w:rFonts w:ascii="Times New Roman" w:hAnsi="Times New Roman"/>
          <w:sz w:val="16"/>
          <w:szCs w:val="16"/>
        </w:rPr>
        <w:t xml:space="preserve">  </w:t>
      </w:r>
    </w:p>
  </w:footnote>
  <w:footnote w:id="8">
    <w:p w:rsidR="00BA4B71" w:rsidRPr="00F6500F" w:rsidRDefault="00BA4B71" w:rsidP="00F6500F">
      <w:pPr>
        <w:pStyle w:val="FootnoteText"/>
        <w:jc w:val="left"/>
        <w:rPr>
          <w:sz w:val="16"/>
          <w:szCs w:val="16"/>
        </w:rPr>
      </w:pPr>
      <w:r w:rsidRPr="00A617C9">
        <w:rPr>
          <w:rStyle w:val="FootnoteReference"/>
          <w:rFonts w:ascii="Times New Roman" w:hAnsi="Times New Roman"/>
          <w:sz w:val="16"/>
          <w:szCs w:val="16"/>
        </w:rPr>
        <w:footnoteRef/>
      </w:r>
      <w:r w:rsidRPr="00F6500F">
        <w:rPr>
          <w:rFonts w:ascii="Times New Roman" w:hAnsi="Times New Roman"/>
          <w:sz w:val="16"/>
          <w:szCs w:val="16"/>
        </w:rPr>
        <w:t xml:space="preserve">FERC Order No. 809 can be found through the following hyperlink: </w:t>
      </w:r>
      <w:hyperlink r:id="rId5" w:history="1">
        <w:r w:rsidRPr="00F6500F">
          <w:rPr>
            <w:rFonts w:ascii="Times New Roman" w:hAnsi="Times New Roman"/>
            <w:sz w:val="16"/>
            <w:szCs w:val="16"/>
          </w:rPr>
          <w:t>https://www.ferc.gov/whats-new/comm-meet/2015/041615/M-1.pdf</w:t>
        </w:r>
      </w:hyperlink>
      <w:r w:rsidRPr="00F6500F">
        <w:rPr>
          <w:rFonts w:ascii="Times New Roman" w:hAnsi="Times New Roman"/>
          <w:sz w:val="16"/>
          <w:szCs w:val="16"/>
        </w:rPr>
        <w:t xml:space="preserve">   </w:t>
      </w:r>
    </w:p>
  </w:footnote>
  <w:footnote w:id="9">
    <w:p w:rsidR="00BA4B71" w:rsidRPr="00A617C9" w:rsidRDefault="00BA4B71">
      <w:pPr>
        <w:pStyle w:val="FootnoteText"/>
        <w:rPr>
          <w:sz w:val="16"/>
          <w:szCs w:val="16"/>
        </w:rPr>
      </w:pPr>
      <w:r w:rsidRPr="00F6500F">
        <w:rPr>
          <w:rStyle w:val="FootnoteReference"/>
          <w:rFonts w:ascii="Times New Roman" w:hAnsi="Times New Roman"/>
          <w:sz w:val="16"/>
          <w:szCs w:val="16"/>
        </w:rPr>
        <w:footnoteRef/>
      </w:r>
      <w:r w:rsidRPr="00F6500F">
        <w:rPr>
          <w:rStyle w:val="FootnoteReference"/>
          <w:rFonts w:ascii="Times New Roman" w:hAnsi="Times New Roman"/>
          <w:sz w:val="16"/>
          <w:szCs w:val="16"/>
        </w:rPr>
        <w:t xml:space="preserve"> </w:t>
      </w:r>
      <w:proofErr w:type="gramStart"/>
      <w:r w:rsidRPr="00F6500F">
        <w:rPr>
          <w:rFonts w:ascii="Times New Roman" w:hAnsi="Times New Roman"/>
          <w:sz w:val="16"/>
          <w:szCs w:val="16"/>
        </w:rPr>
        <w:t>FERC Order No. 809 ¶107.</w:t>
      </w:r>
      <w:proofErr w:type="gramEnd"/>
      <w:r w:rsidRPr="00F6500F">
        <w:rPr>
          <w:rFonts w:ascii="Times New Roman" w:hAnsi="Times New Roman"/>
          <w:sz w:val="16"/>
          <w:szCs w:val="16"/>
        </w:rPr>
        <w:t xml:space="preserve"> While NAESB’s</w:t>
      </w:r>
      <w:r w:rsidRPr="00A617C9">
        <w:rPr>
          <w:rFonts w:ascii="Times New Roman" w:hAnsi="Times New Roman"/>
          <w:sz w:val="16"/>
          <w:szCs w:val="16"/>
        </w:rPr>
        <w:t xml:space="preserve"> modified standards represent an improvement over the currently effective standards, we continue to recognize that additional intraday nomination opportunities could promote more efficient use of existing pipeline infrastructure and provide additional operational flexibility to all pipeline shippers, including gas-fired generators. The modified NAESB standards reflect reduced intraday processing times from the current NAESB standards (i.e., three hours instead of the current four hours), and existing operational limitations, including the manual processes utilized by pipelines for processing nominations, may affect the ability of the gas industry to add additional standard nomination cycles applicable to all shippers. However, the use of computerized scheduling would appear to provide an opportunity for faster and more frequent scheduling of intraday nominations for those shippers and their confirming parties willing to commit to scheduling electronically. We request that gas and electric industries, through NAESB, explore the potential for faster, computerized scheduling when shippers and confirming parties all submit electronic nominations and confirmations, including a streamlined confirmation process if necessary. Providing such an option would enable those entities that need greater scheduling flexibility to have their requests processed expeditiously.</w:t>
      </w:r>
    </w:p>
  </w:footnote>
  <w:footnote w:id="10">
    <w:p w:rsidR="00BA4B71" w:rsidRDefault="00BA4B71">
      <w:pPr>
        <w:spacing w:before="60"/>
      </w:pPr>
      <w:r>
        <w:rPr>
          <w:rStyle w:val="FootnoteReference"/>
          <w:sz w:val="16"/>
          <w:szCs w:val="16"/>
        </w:rPr>
        <w:footnoteRef/>
      </w:r>
      <w:r>
        <w:rPr>
          <w:sz w:val="16"/>
          <w:szCs w:val="16"/>
        </w:rPr>
        <w:t xml:space="preserve"> Phase 2 of the Parallel Flow Visualization looks at developing options for and reporting of the most cost effective alternatives to achieve curtail obligations assigned during Phase 1.</w:t>
      </w:r>
    </w:p>
  </w:footnote>
  <w:footnote w:id="11">
    <w:p w:rsidR="00BA4B71" w:rsidRDefault="00BA4B71">
      <w:pPr>
        <w:pStyle w:val="EndnoteText"/>
        <w:spacing w:before="60"/>
        <w:jc w:val="left"/>
      </w:pPr>
      <w:r>
        <w:rPr>
          <w:rStyle w:val="FootnoteReference"/>
          <w:sz w:val="16"/>
          <w:szCs w:val="16"/>
        </w:rPr>
        <w:footnoteRef/>
      </w:r>
      <w:r>
        <w:rPr>
          <w:sz w:val="16"/>
          <w:szCs w:val="16"/>
        </w:rPr>
        <w:t xml:space="preserve"> For additional information, please see comments submitted by PJM and Midwest ISO for this Annual Plan Item:  </w:t>
      </w:r>
      <w:hyperlink r:id="rId6" w:history="1">
        <w:r>
          <w:rPr>
            <w:rStyle w:val="Hyperlink"/>
            <w:sz w:val="16"/>
            <w:szCs w:val="16"/>
          </w:rPr>
          <w:t>http://www.naesb.org/pdf3/weq_aplan102907w1.pdf</w:t>
        </w:r>
      </w:hyperlink>
      <w:r>
        <w:rPr>
          <w:sz w:val="16"/>
          <w:szCs w:val="16"/>
        </w:rPr>
        <w:t>.</w:t>
      </w:r>
    </w:p>
  </w:footnote>
  <w:footnote w:id="12">
    <w:p w:rsidR="00BA4B71" w:rsidRDefault="00BA4B71">
      <w:pPr>
        <w:pStyle w:val="FootnoteText"/>
        <w:keepNext/>
        <w:spacing w:before="60"/>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For FERC Final Order No. 764, Docket No. RM10-11-000, specifically paragraph nos. 146 and 182 should be reviewed:</w:t>
      </w:r>
    </w:p>
    <w:p w:rsidR="00BA4B71" w:rsidRDefault="00BA4B71">
      <w:pPr>
        <w:spacing w:before="60"/>
        <w:ind w:left="360"/>
        <w:rPr>
          <w:sz w:val="16"/>
          <w:szCs w:val="16"/>
        </w:rPr>
      </w:pPr>
      <w:r>
        <w:rPr>
          <w:sz w:val="16"/>
          <w:szCs w:val="16"/>
        </w:rPr>
        <w:t xml:space="preserve">146. The Commission concludes that an independent review of NERC standards and NAESB business practices is not necessary prior to the implementation of intra-hour scheduling. As noted by NERC, several entities currently offer intra-hour scheduling without any apparent conflict with Reliability Standards. NERC comments that it does not believe there are any existing standards that prohibit industry from implementing intra-hour scheduling, and no commenters have pointed to specific NAESB business practices that prevent industry from implementing intra-hour scheduling. The Commission therefore concludes that it is not necessary to delay adoption of the intra-hour scheduling requirements of this Final Rule pending further review of NERC Reliability Standards and NAESB business practices. </w:t>
      </w:r>
      <w:r w:rsidRPr="00702205">
        <w:rPr>
          <w:sz w:val="16"/>
          <w:szCs w:val="16"/>
        </w:rPr>
        <w:t>To the extent industry believes it is beneficial to refine one or more existing NERC Reliability Standards or NAESB business practices to reflect intra-hour scheduling, stakeholders can use existing processes to pursue such refinements.</w:t>
      </w:r>
    </w:p>
    <w:p w:rsidR="00BA4B71" w:rsidRDefault="00BA4B71">
      <w:pPr>
        <w:spacing w:before="60"/>
        <w:ind w:left="360"/>
      </w:pPr>
      <w:r>
        <w:rPr>
          <w:sz w:val="16"/>
          <w:szCs w:val="16"/>
        </w:rPr>
        <w:t xml:space="preserve">182. Some commenters request that the Commission standardize protocols for reporting meteorological or forced outage data required by this Final Rule. The Proposed Rule did not contain standard protocols for data reporting and, as a result, the merits of such a requirement have not been fully addressed in the record.  </w:t>
      </w:r>
      <w:r w:rsidRPr="00702205">
        <w:rPr>
          <w:sz w:val="16"/>
          <w:szCs w:val="16"/>
        </w:rPr>
        <w:t>Whether standardization of data communications would facilitate or hinder development of power production forecasting may implicate a variety of data and communications issues that would benefit from broad industry input through standards development processes such as those used by NAESB and other organizations.</w:t>
      </w:r>
      <w:r>
        <w:rPr>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B71" w:rsidRDefault="00BA4B71">
    <w:pPr>
      <w:pStyle w:val="Header"/>
      <w:tabs>
        <w:tab w:val="left" w:pos="1080"/>
      </w:tabs>
      <w:spacing w:before="720"/>
      <w:jc w:val="right"/>
      <w:rPr>
        <w:b/>
        <w:spacing w:val="20"/>
        <w:sz w:val="32"/>
      </w:rPr>
    </w:pPr>
    <w:r>
      <w:rPr>
        <w:noProof/>
      </w:rPr>
      <w:drawing>
        <wp:anchor distT="0" distB="0" distL="114300" distR="114300" simplePos="0" relativeHeight="251662336" behindDoc="1" locked="0" layoutInCell="1" allowOverlap="1" wp14:anchorId="56F304B7" wp14:editId="4408CCC0">
          <wp:simplePos x="0" y="0"/>
          <wp:positionH relativeFrom="column">
            <wp:posOffset>41910</wp:posOffset>
          </wp:positionH>
          <wp:positionV relativeFrom="paragraph">
            <wp:posOffset>-35560</wp:posOffset>
          </wp:positionV>
          <wp:extent cx="1118870" cy="1181100"/>
          <wp:effectExtent l="0" t="0" r="5080" b="0"/>
          <wp:wrapNone/>
          <wp:docPr id="3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t="-2563" r="33809" b="23077"/>
                  <a:stretch>
                    <a:fillRect/>
                  </a:stretch>
                </pic:blipFill>
                <pic:spPr bwMode="auto">
                  <a:xfrm>
                    <a:off x="0" y="0"/>
                    <a:ext cx="1118870" cy="1181100"/>
                  </a:xfrm>
                  <a:prstGeom prst="rect">
                    <a:avLst/>
                  </a:prstGeom>
                  <a:noFill/>
                </pic:spPr>
              </pic:pic>
            </a:graphicData>
          </a:graphic>
        </wp:anchor>
      </w:drawing>
    </w:r>
    <w:r>
      <w:rPr>
        <w:noProof/>
      </w:rPr>
      <mc:AlternateContent>
        <mc:Choice Requires="wps">
          <w:drawing>
            <wp:anchor distT="0" distB="0" distL="114300" distR="114300" simplePos="0" relativeHeight="251661312" behindDoc="1" locked="0" layoutInCell="1" allowOverlap="1" wp14:anchorId="20A3CDA6" wp14:editId="4715225C">
              <wp:simplePos x="0" y="0"/>
              <wp:positionH relativeFrom="column">
                <wp:posOffset>1684020</wp:posOffset>
              </wp:positionH>
              <wp:positionV relativeFrom="paragraph">
                <wp:posOffset>12700</wp:posOffset>
              </wp:positionV>
              <wp:extent cx="57785" cy="146050"/>
              <wp:effectExtent l="0" t="0" r="18415" b="6350"/>
              <wp:wrapNone/>
              <wp:docPr id="3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B71" w:rsidRDefault="00BA4B71"/>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28" o:spid="_x0000_s1055" style="position:absolute;left:0;text-align:left;margin-left:132.6pt;margin-top:1pt;width:4.55pt;height:11.5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PyRqQIAAJ4FAAAOAAAAZHJzL2Uyb0RvYy54bWysVF1vmzAUfZ+0/2D5nfJRkgAqqdoQpknd&#10;Vq3bD3DABGvGRrYb0lX777s2IWnal2kbD+hiXx+fc+/hXl3vO452VGkmRY7DiwAjKipZM7HN8fdv&#10;pZdgpA0RNeFS0Bw/UY2vl+/fXQ19RiPZSl5ThQBE6Gzoc9wa02e+r6uWdkRfyJ4K2Gyk6oiBT7X1&#10;a0UGQO+4HwXB3B+kqnslK6o1rBbjJl46/KahlfnSNJoaxHMM3Ix7K/fe2Le/vCLZVpG+ZdWBBvkL&#10;Fh1hAi49QhXEEPSo2BuojlVKatmYi0p2vmwaVlGnAdSEwSs1Dy3pqdMCxdH9sUz6/8FWn3f3CrE6&#10;x5cRRoJ00KOvUDUitpyiKLEFGnqdQd5Df6+sRN3fyeqHRkKuWkijN0rJoaWkBlqhzffPDtgPDUfR&#10;Zvgka4Anj0a6Wu0b1VlAqALau5Y8HVtC9wZVsDhbLJIZRhXshPE8mLmO+SSbzvZKmw9UdsgGOVZA&#10;3WGT3Z02lgvJphR7lZAl49w1nYuzBUgcV+BmOGr3LAfXw+c0SNfJOom9OJqvvTgoCu+mXMXevAwX&#10;s+KyWK2K8Je9N4yzltU1FfaayU9h/Gf9Ojh7dMLRUVpyVls4S0mr7WbFFdoR8HPpHldx2Dml+ec0&#10;XBFAyytJYRQHt1HqlfNk4cVlPPPSRZB4QZjepvMgTuOiPJd0xwT9d0loyHE6i2auSy9Iv9IWuOet&#10;NpJ1zMDE4KzLcXJMIpk14FrUrrWGMD7GL0ph6Z9KAe2eGu3sah06Ot3sN3tAsbbdyPoJjKskOAuG&#10;B4w5CFqpfmI0wMjIsYCZhhH/KMD6drpMgZqCzRQQUcHBHBuMxnBlxin02Cu2bQE3HCvS38DvUTLn&#10;3ROHw08FQ8BJOAwsO2Vefrus01hd/gYAAP//AwBQSwMEFAAGAAgAAAAhACtQXVDcAAAACAEAAA8A&#10;AABkcnMvZG93bnJldi54bWxMj81OwzAQhO9IvIO1SNyoXUNLFeJUCKkSIC5N+wBuvPlR/RPZbhPe&#10;nuUEt1nNaPabcjs7y64Y0xC8guVCAEPfBDP4TsHxsHvYAEtZe6Nt8KjgGxNsq9ubUhcmTH6P1zp3&#10;jEp8KrSCPuex4Dw1PTqdFmFET14botOZzthxE/VE5c5yKcSaOz14+tDrEd96bM71xSngh3o3bWob&#10;RfiU7Zf9eN+3GJS6v5tfX4BlnPNfGH7xCR0qYjqFizeJWQVyvZIUJUGTyJfPT4/ATiRWAnhV8v8D&#10;qh8AAAD//wMAUEsBAi0AFAAGAAgAAAAhALaDOJL+AAAA4QEAABMAAAAAAAAAAAAAAAAAAAAAAFtD&#10;b250ZW50X1R5cGVzXS54bWxQSwECLQAUAAYACAAAACEAOP0h/9YAAACUAQAACwAAAAAAAAAAAAAA&#10;AAAvAQAAX3JlbHMvLnJlbHNQSwECLQAUAAYACAAAACEASmj8kakCAACeBQAADgAAAAAAAAAAAAAA&#10;AAAuAgAAZHJzL2Uyb0RvYy54bWxQSwECLQAUAAYACAAAACEAK1BdUNwAAAAIAQAADwAAAAAAAAAA&#10;AAAAAAADBQAAZHJzL2Rvd25yZXYueG1sUEsFBgAAAAAEAAQA8wAAAAwGAAAAAA==&#10;" filled="f" stroked="f">
              <v:textbox style="mso-fit-shape-to-text:t" inset="0,0,0,0">
                <w:txbxContent>
                  <w:p w:rsidR="00BA4B71" w:rsidRDefault="00BA4B71"/>
                </w:txbxContent>
              </v:textbox>
            </v:rect>
          </w:pict>
        </mc:Fallback>
      </mc:AlternateContent>
    </w:r>
    <w:r>
      <w:rPr>
        <w:b/>
        <w:spacing w:val="20"/>
        <w:sz w:val="32"/>
      </w:rPr>
      <w:t>North American Energy Standards Board</w:t>
    </w:r>
  </w:p>
  <w:p w:rsidR="00BA4B71" w:rsidRDefault="00BA4B71" w:rsidP="00690C45">
    <w:pPr>
      <w:pStyle w:val="Header"/>
      <w:tabs>
        <w:tab w:val="left" w:pos="680"/>
        <w:tab w:val="right" w:pos="9810"/>
      </w:tabs>
      <w:spacing w:before="60"/>
      <w:ind w:left="1800"/>
      <w:jc w:val="right"/>
    </w:pPr>
    <w:r>
      <w:t>801 Travis, Suite 1675, Houston, Texas 77002</w:t>
    </w:r>
  </w:p>
  <w:p w:rsidR="00BA4B71" w:rsidRDefault="00BA4B71">
    <w:pPr>
      <w:pStyle w:val="Header"/>
      <w:ind w:left="1800"/>
      <w:jc w:val="right"/>
      <w:rPr>
        <w:lang w:val="fr-FR"/>
      </w:rPr>
    </w:pPr>
    <w:r>
      <w:rPr>
        <w:lang w:val="fr-FR"/>
      </w:rPr>
      <w:t>Phone: (713) 356-0060, Fax</w:t>
    </w:r>
    <w:proofErr w:type="gramStart"/>
    <w:r>
      <w:rPr>
        <w:lang w:val="fr-FR"/>
      </w:rPr>
      <w:t>:  (</w:t>
    </w:r>
    <w:proofErr w:type="gramEnd"/>
    <w:r>
      <w:rPr>
        <w:lang w:val="fr-FR"/>
      </w:rPr>
      <w:t>713) 356-0067, E-mail: naesb@naesb.org</w:t>
    </w:r>
  </w:p>
  <w:p w:rsidR="00BA4B71" w:rsidRDefault="00BA4B71">
    <w:pPr>
      <w:pStyle w:val="Header"/>
      <w:pBdr>
        <w:bottom w:val="single" w:sz="18" w:space="1" w:color="auto"/>
      </w:pBdr>
      <w:tabs>
        <w:tab w:val="left" w:pos="2955"/>
        <w:tab w:val="right" w:pos="9360"/>
      </w:tabs>
      <w:spacing w:after="240"/>
      <w:ind w:left="1800" w:hanging="1800"/>
      <w:jc w:val="right"/>
      <w:rPr>
        <w:rFonts w:ascii="Bookman Old Style" w:hAnsi="Bookman Old Style" w:cs="Tahoma"/>
      </w:rPr>
    </w:pPr>
    <w:r>
      <w:rPr>
        <w:lang w:val="fr-FR"/>
      </w:rPr>
      <w:tab/>
    </w:r>
    <w:r>
      <w:rPr>
        <w:lang w:val="fr-FR"/>
      </w:rPr>
      <w:tab/>
    </w:r>
    <w:r>
      <w:t xml:space="preserve">Home Page: </w:t>
    </w:r>
    <w:hyperlink r:id="rId2" w:history="1">
      <w:r>
        <w:rPr>
          <w:rStyle w:val="Hyperlink"/>
        </w:rPr>
        <w:t>www.naesb.org</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82BB3"/>
    <w:multiLevelType w:val="hybridMultilevel"/>
    <w:tmpl w:val="11507328"/>
    <w:lvl w:ilvl="0" w:tplc="B7547FDC">
      <w:start w:val="1"/>
      <w:numFmt w:val="bullet"/>
      <w:pStyle w:val="BulletStatusRepor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AE34E7"/>
    <w:multiLevelType w:val="hybridMultilevel"/>
    <w:tmpl w:val="6C186AEE"/>
    <w:lvl w:ilvl="0" w:tplc="E0F268BC">
      <w:start w:val="1"/>
      <w:numFmt w:val="decimal"/>
      <w:lvlText w:val="%1)"/>
      <w:lvlJc w:val="left"/>
      <w:pPr>
        <w:tabs>
          <w:tab w:val="num" w:pos="1243"/>
        </w:tabs>
        <w:ind w:left="1243" w:hanging="360"/>
      </w:pPr>
      <w:rPr>
        <w:rFonts w:cs="Times New Roman" w:hint="default"/>
      </w:rPr>
    </w:lvl>
    <w:lvl w:ilvl="1" w:tplc="04090019" w:tentative="1">
      <w:start w:val="1"/>
      <w:numFmt w:val="lowerLetter"/>
      <w:lvlText w:val="%2."/>
      <w:lvlJc w:val="left"/>
      <w:pPr>
        <w:tabs>
          <w:tab w:val="num" w:pos="1963"/>
        </w:tabs>
        <w:ind w:left="1963" w:hanging="360"/>
      </w:pPr>
      <w:rPr>
        <w:rFonts w:cs="Times New Roman"/>
      </w:rPr>
    </w:lvl>
    <w:lvl w:ilvl="2" w:tplc="0409001B" w:tentative="1">
      <w:start w:val="1"/>
      <w:numFmt w:val="lowerRoman"/>
      <w:lvlText w:val="%3."/>
      <w:lvlJc w:val="right"/>
      <w:pPr>
        <w:tabs>
          <w:tab w:val="num" w:pos="2683"/>
        </w:tabs>
        <w:ind w:left="2683" w:hanging="180"/>
      </w:pPr>
      <w:rPr>
        <w:rFonts w:cs="Times New Roman"/>
      </w:rPr>
    </w:lvl>
    <w:lvl w:ilvl="3" w:tplc="0409000F" w:tentative="1">
      <w:start w:val="1"/>
      <w:numFmt w:val="decimal"/>
      <w:lvlText w:val="%4."/>
      <w:lvlJc w:val="left"/>
      <w:pPr>
        <w:tabs>
          <w:tab w:val="num" w:pos="3403"/>
        </w:tabs>
        <w:ind w:left="3403" w:hanging="360"/>
      </w:pPr>
      <w:rPr>
        <w:rFonts w:cs="Times New Roman"/>
      </w:rPr>
    </w:lvl>
    <w:lvl w:ilvl="4" w:tplc="04090019" w:tentative="1">
      <w:start w:val="1"/>
      <w:numFmt w:val="lowerLetter"/>
      <w:lvlText w:val="%5."/>
      <w:lvlJc w:val="left"/>
      <w:pPr>
        <w:tabs>
          <w:tab w:val="num" w:pos="4123"/>
        </w:tabs>
        <w:ind w:left="4123" w:hanging="360"/>
      </w:pPr>
      <w:rPr>
        <w:rFonts w:cs="Times New Roman"/>
      </w:rPr>
    </w:lvl>
    <w:lvl w:ilvl="5" w:tplc="0409001B" w:tentative="1">
      <w:start w:val="1"/>
      <w:numFmt w:val="lowerRoman"/>
      <w:lvlText w:val="%6."/>
      <w:lvlJc w:val="right"/>
      <w:pPr>
        <w:tabs>
          <w:tab w:val="num" w:pos="4843"/>
        </w:tabs>
        <w:ind w:left="4843" w:hanging="180"/>
      </w:pPr>
      <w:rPr>
        <w:rFonts w:cs="Times New Roman"/>
      </w:rPr>
    </w:lvl>
    <w:lvl w:ilvl="6" w:tplc="0409000F" w:tentative="1">
      <w:start w:val="1"/>
      <w:numFmt w:val="decimal"/>
      <w:lvlText w:val="%7."/>
      <w:lvlJc w:val="left"/>
      <w:pPr>
        <w:tabs>
          <w:tab w:val="num" w:pos="5563"/>
        </w:tabs>
        <w:ind w:left="5563" w:hanging="360"/>
      </w:pPr>
      <w:rPr>
        <w:rFonts w:cs="Times New Roman"/>
      </w:rPr>
    </w:lvl>
    <w:lvl w:ilvl="7" w:tplc="04090019" w:tentative="1">
      <w:start w:val="1"/>
      <w:numFmt w:val="lowerLetter"/>
      <w:lvlText w:val="%8."/>
      <w:lvlJc w:val="left"/>
      <w:pPr>
        <w:tabs>
          <w:tab w:val="num" w:pos="6283"/>
        </w:tabs>
        <w:ind w:left="6283" w:hanging="360"/>
      </w:pPr>
      <w:rPr>
        <w:rFonts w:cs="Times New Roman"/>
      </w:rPr>
    </w:lvl>
    <w:lvl w:ilvl="8" w:tplc="0409001B" w:tentative="1">
      <w:start w:val="1"/>
      <w:numFmt w:val="lowerRoman"/>
      <w:lvlText w:val="%9."/>
      <w:lvlJc w:val="right"/>
      <w:pPr>
        <w:tabs>
          <w:tab w:val="num" w:pos="7003"/>
        </w:tabs>
        <w:ind w:left="7003" w:hanging="180"/>
      </w:pPr>
      <w:rPr>
        <w:rFonts w:cs="Times New Roman"/>
      </w:rPr>
    </w:lvl>
  </w:abstractNum>
  <w:abstractNum w:abstractNumId="2">
    <w:nsid w:val="0C11171B"/>
    <w:multiLevelType w:val="hybridMultilevel"/>
    <w:tmpl w:val="33E44324"/>
    <w:lvl w:ilvl="0" w:tplc="527E4044">
      <w:start w:val="1"/>
      <w:numFmt w:val="bullet"/>
      <w:lvlText w:val=""/>
      <w:lvlJc w:val="left"/>
      <w:pPr>
        <w:tabs>
          <w:tab w:val="num" w:pos="792"/>
        </w:tabs>
        <w:ind w:left="792" w:hanging="288"/>
      </w:pPr>
      <w:rPr>
        <w:rFonts w:ascii="Marlett" w:hAnsi="Marlett"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E730832"/>
    <w:multiLevelType w:val="hybridMultilevel"/>
    <w:tmpl w:val="F88EE95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4">
    <w:nsid w:val="1765399B"/>
    <w:multiLevelType w:val="hybridMultilevel"/>
    <w:tmpl w:val="1BB0B05C"/>
    <w:lvl w:ilvl="0" w:tplc="57E0906C">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81A4FC8"/>
    <w:multiLevelType w:val="hybridMultilevel"/>
    <w:tmpl w:val="2126F24A"/>
    <w:lvl w:ilvl="0" w:tplc="6A2C7022">
      <w:start w:val="1"/>
      <w:numFmt w:val="decimal"/>
      <w:lvlText w:val="%1."/>
      <w:lvlJc w:val="left"/>
      <w:pPr>
        <w:tabs>
          <w:tab w:val="num" w:pos="1710"/>
        </w:tabs>
        <w:ind w:left="1710" w:hanging="99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1CD7134A"/>
    <w:multiLevelType w:val="hybridMultilevel"/>
    <w:tmpl w:val="E7A8AB4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7">
    <w:nsid w:val="1D7C5EB0"/>
    <w:multiLevelType w:val="hybridMultilevel"/>
    <w:tmpl w:val="B112B134"/>
    <w:lvl w:ilvl="0" w:tplc="527E4044">
      <w:start w:val="1"/>
      <w:numFmt w:val="bullet"/>
      <w:lvlText w:val=""/>
      <w:lvlJc w:val="left"/>
      <w:pPr>
        <w:tabs>
          <w:tab w:val="num" w:pos="792"/>
        </w:tabs>
        <w:ind w:left="792" w:hanging="288"/>
      </w:pPr>
      <w:rPr>
        <w:rFonts w:ascii="Marlett" w:hAnsi="Marlett"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E3812C1"/>
    <w:multiLevelType w:val="multilevel"/>
    <w:tmpl w:val="3E70A6C4"/>
    <w:lvl w:ilvl="0">
      <w:start w:val="1"/>
      <w:numFmt w:val="decimal"/>
      <w:lvlText w:val="%1."/>
      <w:lvlJc w:val="left"/>
      <w:pPr>
        <w:tabs>
          <w:tab w:val="num" w:pos="630"/>
        </w:tabs>
        <w:ind w:left="630" w:hanging="360"/>
      </w:pPr>
      <w:rPr>
        <w:rFonts w:cs="Times New Roman"/>
      </w:rPr>
    </w:lvl>
    <w:lvl w:ilvl="1">
      <w:start w:val="1"/>
      <w:numFmt w:val="lowerLetter"/>
      <w:lvlText w:val="%2."/>
      <w:lvlJc w:val="left"/>
      <w:pPr>
        <w:tabs>
          <w:tab w:val="num" w:pos="1350"/>
        </w:tabs>
        <w:ind w:left="1350" w:hanging="360"/>
      </w:pPr>
      <w:rPr>
        <w:rFonts w:cs="Times New Roman"/>
      </w:rPr>
    </w:lvl>
    <w:lvl w:ilvl="2">
      <w:start w:val="1"/>
      <w:numFmt w:val="lowerRoman"/>
      <w:lvlText w:val="%3."/>
      <w:lvlJc w:val="right"/>
      <w:pPr>
        <w:tabs>
          <w:tab w:val="num" w:pos="2070"/>
        </w:tabs>
        <w:ind w:left="2070" w:hanging="180"/>
      </w:pPr>
      <w:rPr>
        <w:rFonts w:cs="Times New Roman"/>
      </w:rPr>
    </w:lvl>
    <w:lvl w:ilvl="3">
      <w:start w:val="1"/>
      <w:numFmt w:val="decimal"/>
      <w:lvlText w:val="%4."/>
      <w:lvlJc w:val="left"/>
      <w:pPr>
        <w:tabs>
          <w:tab w:val="num" w:pos="2790"/>
        </w:tabs>
        <w:ind w:left="2790" w:hanging="360"/>
      </w:pPr>
      <w:rPr>
        <w:rFonts w:cs="Times New Roman"/>
      </w:rPr>
    </w:lvl>
    <w:lvl w:ilvl="4">
      <w:start w:val="1"/>
      <w:numFmt w:val="lowerLetter"/>
      <w:lvlText w:val="%5."/>
      <w:lvlJc w:val="left"/>
      <w:pPr>
        <w:tabs>
          <w:tab w:val="num" w:pos="3510"/>
        </w:tabs>
        <w:ind w:left="3510" w:hanging="360"/>
      </w:pPr>
      <w:rPr>
        <w:rFonts w:cs="Times New Roman"/>
      </w:rPr>
    </w:lvl>
    <w:lvl w:ilvl="5">
      <w:start w:val="1"/>
      <w:numFmt w:val="lowerRoman"/>
      <w:lvlText w:val="%6."/>
      <w:lvlJc w:val="right"/>
      <w:pPr>
        <w:tabs>
          <w:tab w:val="num" w:pos="4230"/>
        </w:tabs>
        <w:ind w:left="4230" w:hanging="180"/>
      </w:pPr>
      <w:rPr>
        <w:rFonts w:cs="Times New Roman"/>
      </w:rPr>
    </w:lvl>
    <w:lvl w:ilvl="6">
      <w:start w:val="1"/>
      <w:numFmt w:val="decimal"/>
      <w:lvlText w:val="%7."/>
      <w:lvlJc w:val="left"/>
      <w:pPr>
        <w:tabs>
          <w:tab w:val="num" w:pos="4950"/>
        </w:tabs>
        <w:ind w:left="4950" w:hanging="360"/>
      </w:pPr>
      <w:rPr>
        <w:rFonts w:cs="Times New Roman"/>
      </w:rPr>
    </w:lvl>
    <w:lvl w:ilvl="7">
      <w:start w:val="1"/>
      <w:numFmt w:val="lowerLetter"/>
      <w:lvlText w:val="%8."/>
      <w:lvlJc w:val="left"/>
      <w:pPr>
        <w:tabs>
          <w:tab w:val="num" w:pos="5670"/>
        </w:tabs>
        <w:ind w:left="5670" w:hanging="360"/>
      </w:pPr>
      <w:rPr>
        <w:rFonts w:cs="Times New Roman"/>
      </w:rPr>
    </w:lvl>
    <w:lvl w:ilvl="8">
      <w:start w:val="1"/>
      <w:numFmt w:val="lowerRoman"/>
      <w:lvlText w:val="%9."/>
      <w:lvlJc w:val="right"/>
      <w:pPr>
        <w:tabs>
          <w:tab w:val="num" w:pos="6390"/>
        </w:tabs>
        <w:ind w:left="6390" w:hanging="180"/>
      </w:pPr>
      <w:rPr>
        <w:rFonts w:cs="Times New Roman"/>
      </w:rPr>
    </w:lvl>
  </w:abstractNum>
  <w:abstractNum w:abstractNumId="9">
    <w:nsid w:val="1FD733CC"/>
    <w:multiLevelType w:val="multilevel"/>
    <w:tmpl w:val="652EF936"/>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0">
    <w:nsid w:val="23DB4C39"/>
    <w:multiLevelType w:val="multilevel"/>
    <w:tmpl w:val="5100FB0A"/>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1">
    <w:nsid w:val="27A47C50"/>
    <w:multiLevelType w:val="hybridMultilevel"/>
    <w:tmpl w:val="B4420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BB50982"/>
    <w:multiLevelType w:val="hybridMultilevel"/>
    <w:tmpl w:val="5100FB0A"/>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3">
    <w:nsid w:val="341A1918"/>
    <w:multiLevelType w:val="hybridMultilevel"/>
    <w:tmpl w:val="EA9E3882"/>
    <w:lvl w:ilvl="0" w:tplc="CAD83840">
      <w:start w:val="1"/>
      <w:numFmt w:val="decimal"/>
      <w:lvlText w:val="%1)"/>
      <w:lvlJc w:val="left"/>
      <w:pPr>
        <w:tabs>
          <w:tab w:val="num" w:pos="864"/>
        </w:tabs>
        <w:ind w:left="86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99007AD"/>
    <w:multiLevelType w:val="multilevel"/>
    <w:tmpl w:val="55B21BD0"/>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5">
    <w:nsid w:val="3BDA66E0"/>
    <w:multiLevelType w:val="hybridMultilevel"/>
    <w:tmpl w:val="F71812F2"/>
    <w:lvl w:ilvl="0" w:tplc="04090003">
      <w:start w:val="1"/>
      <w:numFmt w:val="bullet"/>
      <w:lvlText w:val="o"/>
      <w:lvlJc w:val="left"/>
      <w:pPr>
        <w:tabs>
          <w:tab w:val="num" w:pos="1224"/>
        </w:tabs>
        <w:ind w:left="1224" w:hanging="360"/>
      </w:pPr>
      <w:rPr>
        <w:rFonts w:ascii="Courier New" w:hAnsi="Courier New" w:hint="default"/>
      </w:rPr>
    </w:lvl>
    <w:lvl w:ilvl="1" w:tplc="04090019" w:tentative="1">
      <w:start w:val="1"/>
      <w:numFmt w:val="lowerLetter"/>
      <w:lvlText w:val="%2."/>
      <w:lvlJc w:val="left"/>
      <w:pPr>
        <w:tabs>
          <w:tab w:val="num" w:pos="1944"/>
        </w:tabs>
        <w:ind w:left="1944" w:hanging="360"/>
      </w:pPr>
      <w:rPr>
        <w:rFonts w:cs="Times New Roman"/>
      </w:rPr>
    </w:lvl>
    <w:lvl w:ilvl="2" w:tplc="0409001B" w:tentative="1">
      <w:start w:val="1"/>
      <w:numFmt w:val="lowerRoman"/>
      <w:lvlText w:val="%3."/>
      <w:lvlJc w:val="right"/>
      <w:pPr>
        <w:tabs>
          <w:tab w:val="num" w:pos="2664"/>
        </w:tabs>
        <w:ind w:left="2664" w:hanging="180"/>
      </w:pPr>
      <w:rPr>
        <w:rFonts w:cs="Times New Roman"/>
      </w:rPr>
    </w:lvl>
    <w:lvl w:ilvl="3" w:tplc="0409000F" w:tentative="1">
      <w:start w:val="1"/>
      <w:numFmt w:val="decimal"/>
      <w:lvlText w:val="%4."/>
      <w:lvlJc w:val="left"/>
      <w:pPr>
        <w:tabs>
          <w:tab w:val="num" w:pos="3384"/>
        </w:tabs>
        <w:ind w:left="3384" w:hanging="360"/>
      </w:pPr>
      <w:rPr>
        <w:rFonts w:cs="Times New Roman"/>
      </w:rPr>
    </w:lvl>
    <w:lvl w:ilvl="4" w:tplc="04090019" w:tentative="1">
      <w:start w:val="1"/>
      <w:numFmt w:val="lowerLetter"/>
      <w:lvlText w:val="%5."/>
      <w:lvlJc w:val="left"/>
      <w:pPr>
        <w:tabs>
          <w:tab w:val="num" w:pos="4104"/>
        </w:tabs>
        <w:ind w:left="4104" w:hanging="360"/>
      </w:pPr>
      <w:rPr>
        <w:rFonts w:cs="Times New Roman"/>
      </w:rPr>
    </w:lvl>
    <w:lvl w:ilvl="5" w:tplc="0409001B" w:tentative="1">
      <w:start w:val="1"/>
      <w:numFmt w:val="lowerRoman"/>
      <w:lvlText w:val="%6."/>
      <w:lvlJc w:val="right"/>
      <w:pPr>
        <w:tabs>
          <w:tab w:val="num" w:pos="4824"/>
        </w:tabs>
        <w:ind w:left="4824" w:hanging="180"/>
      </w:pPr>
      <w:rPr>
        <w:rFonts w:cs="Times New Roman"/>
      </w:rPr>
    </w:lvl>
    <w:lvl w:ilvl="6" w:tplc="0409000F" w:tentative="1">
      <w:start w:val="1"/>
      <w:numFmt w:val="decimal"/>
      <w:lvlText w:val="%7."/>
      <w:lvlJc w:val="left"/>
      <w:pPr>
        <w:tabs>
          <w:tab w:val="num" w:pos="5544"/>
        </w:tabs>
        <w:ind w:left="5544" w:hanging="360"/>
      </w:pPr>
      <w:rPr>
        <w:rFonts w:cs="Times New Roman"/>
      </w:rPr>
    </w:lvl>
    <w:lvl w:ilvl="7" w:tplc="04090019" w:tentative="1">
      <w:start w:val="1"/>
      <w:numFmt w:val="lowerLetter"/>
      <w:lvlText w:val="%8."/>
      <w:lvlJc w:val="left"/>
      <w:pPr>
        <w:tabs>
          <w:tab w:val="num" w:pos="6264"/>
        </w:tabs>
        <w:ind w:left="6264" w:hanging="360"/>
      </w:pPr>
      <w:rPr>
        <w:rFonts w:cs="Times New Roman"/>
      </w:rPr>
    </w:lvl>
    <w:lvl w:ilvl="8" w:tplc="0409001B" w:tentative="1">
      <w:start w:val="1"/>
      <w:numFmt w:val="lowerRoman"/>
      <w:lvlText w:val="%9."/>
      <w:lvlJc w:val="right"/>
      <w:pPr>
        <w:tabs>
          <w:tab w:val="num" w:pos="6984"/>
        </w:tabs>
        <w:ind w:left="6984" w:hanging="180"/>
      </w:pPr>
      <w:rPr>
        <w:rFonts w:cs="Times New Roman"/>
      </w:rPr>
    </w:lvl>
  </w:abstractNum>
  <w:abstractNum w:abstractNumId="16">
    <w:nsid w:val="3D9826DB"/>
    <w:multiLevelType w:val="hybridMultilevel"/>
    <w:tmpl w:val="99D6415A"/>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7">
    <w:nsid w:val="49CE202D"/>
    <w:multiLevelType w:val="hybridMultilevel"/>
    <w:tmpl w:val="55B21BD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8">
    <w:nsid w:val="4C7855CE"/>
    <w:multiLevelType w:val="hybridMultilevel"/>
    <w:tmpl w:val="0556F504"/>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9">
    <w:nsid w:val="50D40A1C"/>
    <w:multiLevelType w:val="hybridMultilevel"/>
    <w:tmpl w:val="4366EEF4"/>
    <w:lvl w:ilvl="0" w:tplc="0409000F">
      <w:start w:val="1"/>
      <w:numFmt w:val="decimal"/>
      <w:lvlText w:val="%1."/>
      <w:lvlJc w:val="left"/>
      <w:pPr>
        <w:tabs>
          <w:tab w:val="num" w:pos="432"/>
        </w:tabs>
        <w:ind w:left="432" w:hanging="288"/>
      </w:pPr>
      <w:rPr>
        <w:rFonts w:cs="Times New Roman" w:hint="default"/>
        <w:b w:val="0"/>
        <w:i w:val="0"/>
        <w:sz w:val="18"/>
        <w:szCs w:val="18"/>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0">
    <w:nsid w:val="55ED32A2"/>
    <w:multiLevelType w:val="hybridMultilevel"/>
    <w:tmpl w:val="E9B69730"/>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21">
    <w:nsid w:val="564A15D5"/>
    <w:multiLevelType w:val="hybridMultilevel"/>
    <w:tmpl w:val="BDAE4CEE"/>
    <w:lvl w:ilvl="0" w:tplc="04090001">
      <w:start w:val="1"/>
      <w:numFmt w:val="bullet"/>
      <w:lvlText w:val=""/>
      <w:lvlJc w:val="left"/>
      <w:pPr>
        <w:tabs>
          <w:tab w:val="num" w:pos="864"/>
        </w:tabs>
        <w:ind w:left="864" w:hanging="360"/>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2">
    <w:nsid w:val="589648DF"/>
    <w:multiLevelType w:val="hybridMultilevel"/>
    <w:tmpl w:val="B3729FDE"/>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23">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25">
    <w:nsid w:val="6362763C"/>
    <w:multiLevelType w:val="hybridMultilevel"/>
    <w:tmpl w:val="88A6B4BE"/>
    <w:lvl w:ilvl="0" w:tplc="5D54DA18">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6">
    <w:nsid w:val="6AF513E9"/>
    <w:multiLevelType w:val="hybridMultilevel"/>
    <w:tmpl w:val="6722DD18"/>
    <w:lvl w:ilvl="0" w:tplc="0409000F">
      <w:start w:val="1"/>
      <w:numFmt w:val="decimal"/>
      <w:lvlText w:val="%1."/>
      <w:lvlJc w:val="left"/>
      <w:pPr>
        <w:tabs>
          <w:tab w:val="num" w:pos="864"/>
        </w:tabs>
        <w:ind w:left="864" w:hanging="360"/>
      </w:pPr>
      <w:rPr>
        <w:rFonts w:cs="Times New Roman"/>
      </w:rPr>
    </w:lvl>
    <w:lvl w:ilvl="1" w:tplc="85E2C9AE">
      <w:start w:val="1"/>
      <w:numFmt w:val="bullet"/>
      <w:lvlText w:val=""/>
      <w:lvlJc w:val="left"/>
      <w:pPr>
        <w:tabs>
          <w:tab w:val="num" w:pos="1512"/>
        </w:tabs>
        <w:ind w:left="1512" w:hanging="288"/>
      </w:pPr>
      <w:rPr>
        <w:rFonts w:ascii="Symbol" w:hAnsi="Symbol" w:hint="default"/>
        <w:b w:val="0"/>
        <w:i w:val="0"/>
        <w:sz w:val="18"/>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27">
    <w:nsid w:val="6D884441"/>
    <w:multiLevelType w:val="hybridMultilevel"/>
    <w:tmpl w:val="831A1708"/>
    <w:lvl w:ilvl="0" w:tplc="CAD8384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06"/>
        </w:tabs>
        <w:ind w:left="1206" w:hanging="360"/>
      </w:pPr>
      <w:rPr>
        <w:rFonts w:cs="Times New Roman"/>
      </w:rPr>
    </w:lvl>
    <w:lvl w:ilvl="2" w:tplc="0409001B" w:tentative="1">
      <w:start w:val="1"/>
      <w:numFmt w:val="lowerRoman"/>
      <w:lvlText w:val="%3."/>
      <w:lvlJc w:val="right"/>
      <w:pPr>
        <w:tabs>
          <w:tab w:val="num" w:pos="1926"/>
        </w:tabs>
        <w:ind w:left="1926" w:hanging="180"/>
      </w:pPr>
      <w:rPr>
        <w:rFonts w:cs="Times New Roman"/>
      </w:rPr>
    </w:lvl>
    <w:lvl w:ilvl="3" w:tplc="0409000F" w:tentative="1">
      <w:start w:val="1"/>
      <w:numFmt w:val="decimal"/>
      <w:lvlText w:val="%4."/>
      <w:lvlJc w:val="left"/>
      <w:pPr>
        <w:tabs>
          <w:tab w:val="num" w:pos="2646"/>
        </w:tabs>
        <w:ind w:left="2646" w:hanging="360"/>
      </w:pPr>
      <w:rPr>
        <w:rFonts w:cs="Times New Roman"/>
      </w:rPr>
    </w:lvl>
    <w:lvl w:ilvl="4" w:tplc="04090019" w:tentative="1">
      <w:start w:val="1"/>
      <w:numFmt w:val="lowerLetter"/>
      <w:lvlText w:val="%5."/>
      <w:lvlJc w:val="left"/>
      <w:pPr>
        <w:tabs>
          <w:tab w:val="num" w:pos="3366"/>
        </w:tabs>
        <w:ind w:left="3366" w:hanging="360"/>
      </w:pPr>
      <w:rPr>
        <w:rFonts w:cs="Times New Roman"/>
      </w:rPr>
    </w:lvl>
    <w:lvl w:ilvl="5" w:tplc="0409001B" w:tentative="1">
      <w:start w:val="1"/>
      <w:numFmt w:val="lowerRoman"/>
      <w:lvlText w:val="%6."/>
      <w:lvlJc w:val="right"/>
      <w:pPr>
        <w:tabs>
          <w:tab w:val="num" w:pos="4086"/>
        </w:tabs>
        <w:ind w:left="4086" w:hanging="180"/>
      </w:pPr>
      <w:rPr>
        <w:rFonts w:cs="Times New Roman"/>
      </w:rPr>
    </w:lvl>
    <w:lvl w:ilvl="6" w:tplc="0409000F" w:tentative="1">
      <w:start w:val="1"/>
      <w:numFmt w:val="decimal"/>
      <w:lvlText w:val="%7."/>
      <w:lvlJc w:val="left"/>
      <w:pPr>
        <w:tabs>
          <w:tab w:val="num" w:pos="4806"/>
        </w:tabs>
        <w:ind w:left="4806" w:hanging="360"/>
      </w:pPr>
      <w:rPr>
        <w:rFonts w:cs="Times New Roman"/>
      </w:rPr>
    </w:lvl>
    <w:lvl w:ilvl="7" w:tplc="04090019" w:tentative="1">
      <w:start w:val="1"/>
      <w:numFmt w:val="lowerLetter"/>
      <w:lvlText w:val="%8."/>
      <w:lvlJc w:val="left"/>
      <w:pPr>
        <w:tabs>
          <w:tab w:val="num" w:pos="5526"/>
        </w:tabs>
        <w:ind w:left="5526" w:hanging="360"/>
      </w:pPr>
      <w:rPr>
        <w:rFonts w:cs="Times New Roman"/>
      </w:rPr>
    </w:lvl>
    <w:lvl w:ilvl="8" w:tplc="0409001B" w:tentative="1">
      <w:start w:val="1"/>
      <w:numFmt w:val="lowerRoman"/>
      <w:lvlText w:val="%9."/>
      <w:lvlJc w:val="right"/>
      <w:pPr>
        <w:tabs>
          <w:tab w:val="num" w:pos="6246"/>
        </w:tabs>
        <w:ind w:left="6246" w:hanging="180"/>
      </w:pPr>
      <w:rPr>
        <w:rFonts w:cs="Times New Roman"/>
      </w:rPr>
    </w:lvl>
  </w:abstractNum>
  <w:abstractNum w:abstractNumId="28">
    <w:nsid w:val="6FD05B37"/>
    <w:multiLevelType w:val="hybridMultilevel"/>
    <w:tmpl w:val="CD86452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1F063D5"/>
    <w:multiLevelType w:val="hybridMultilevel"/>
    <w:tmpl w:val="5B82F58E"/>
    <w:lvl w:ilvl="0" w:tplc="CAD83840">
      <w:start w:val="1"/>
      <w:numFmt w:val="decimal"/>
      <w:lvlText w:val="%1)"/>
      <w:lvlJc w:val="left"/>
      <w:pPr>
        <w:tabs>
          <w:tab w:val="num" w:pos="63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30">
    <w:nsid w:val="77252A9B"/>
    <w:multiLevelType w:val="hybridMultilevel"/>
    <w:tmpl w:val="4C388B5C"/>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7431BE2"/>
    <w:multiLevelType w:val="hybridMultilevel"/>
    <w:tmpl w:val="CBCCDD40"/>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32">
    <w:nsid w:val="7CEF1EA5"/>
    <w:multiLevelType w:val="hybridMultilevel"/>
    <w:tmpl w:val="A410823A"/>
    <w:lvl w:ilvl="0" w:tplc="CAD83840">
      <w:start w:val="1"/>
      <w:numFmt w:val="decimal"/>
      <w:lvlText w:val="%1)"/>
      <w:lvlJc w:val="left"/>
      <w:pPr>
        <w:tabs>
          <w:tab w:val="num" w:pos="864"/>
        </w:tabs>
        <w:ind w:left="86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7E4E4DD3"/>
    <w:multiLevelType w:val="hybridMultilevel"/>
    <w:tmpl w:val="FE7EEB7A"/>
    <w:lvl w:ilvl="0" w:tplc="648CD95A">
      <w:start w:val="1"/>
      <w:numFmt w:val="decimal"/>
      <w:pStyle w:val="FERCparanumber"/>
      <w:lvlText w:val="%1."/>
      <w:lvlJc w:val="left"/>
      <w:pPr>
        <w:tabs>
          <w:tab w:val="num" w:pos="720"/>
        </w:tabs>
      </w:pPr>
      <w:rPr>
        <w:rFonts w:cs="Times New Roman" w:hint="default"/>
        <w:b w:val="0"/>
        <w:i w:val="0"/>
        <w:color w:val="auto"/>
        <w:sz w:val="26"/>
        <w:szCs w:val="26"/>
      </w:rPr>
    </w:lvl>
    <w:lvl w:ilvl="1" w:tplc="FFFFFFFF">
      <w:start w:val="1"/>
      <w:numFmt w:val="lowerLetter"/>
      <w:lvlText w:val="%2."/>
      <w:lvlJc w:val="left"/>
      <w:pPr>
        <w:tabs>
          <w:tab w:val="num" w:pos="1440"/>
        </w:tabs>
        <w:ind w:left="1440" w:hanging="360"/>
      </w:pPr>
      <w:rPr>
        <w:rFonts w:cs="Times New Roman"/>
      </w:rPr>
    </w:lvl>
    <w:lvl w:ilvl="2" w:tplc="FFFFFFFF">
      <w:start w:val="2"/>
      <w:numFmt w:val="lowerLetter"/>
      <w:lvlText w:val="%3."/>
      <w:lvlJc w:val="left"/>
      <w:pPr>
        <w:tabs>
          <w:tab w:val="num" w:pos="2700"/>
        </w:tabs>
        <w:ind w:left="2700" w:hanging="720"/>
      </w:pPr>
      <w:rPr>
        <w:rFonts w:cs="Times New Roman" w:hint="default"/>
        <w:u w:val="none"/>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0"/>
  </w:num>
  <w:num w:numId="2">
    <w:abstractNumId w:val="21"/>
  </w:num>
  <w:num w:numId="3">
    <w:abstractNumId w:val="30"/>
  </w:num>
  <w:num w:numId="4">
    <w:abstractNumId w:val="28"/>
  </w:num>
  <w:num w:numId="5">
    <w:abstractNumId w:val="31"/>
  </w:num>
  <w:num w:numId="6">
    <w:abstractNumId w:val="20"/>
  </w:num>
  <w:num w:numId="7">
    <w:abstractNumId w:val="22"/>
  </w:num>
  <w:num w:numId="8">
    <w:abstractNumId w:val="19"/>
  </w:num>
  <w:num w:numId="9">
    <w:abstractNumId w:val="6"/>
  </w:num>
  <w:num w:numId="10">
    <w:abstractNumId w:val="26"/>
  </w:num>
  <w:num w:numId="11">
    <w:abstractNumId w:val="15"/>
  </w:num>
  <w:num w:numId="12">
    <w:abstractNumId w:val="3"/>
  </w:num>
  <w:num w:numId="13">
    <w:abstractNumId w:val="29"/>
  </w:num>
  <w:num w:numId="14">
    <w:abstractNumId w:val="17"/>
  </w:num>
  <w:num w:numId="15">
    <w:abstractNumId w:val="12"/>
  </w:num>
  <w:num w:numId="16">
    <w:abstractNumId w:val="9"/>
  </w:num>
  <w:num w:numId="17">
    <w:abstractNumId w:val="18"/>
  </w:num>
  <w:num w:numId="18">
    <w:abstractNumId w:val="16"/>
  </w:num>
  <w:num w:numId="19">
    <w:abstractNumId w:val="1"/>
  </w:num>
  <w:num w:numId="20">
    <w:abstractNumId w:val="23"/>
  </w:num>
  <w:num w:numId="21">
    <w:abstractNumId w:val="24"/>
  </w:num>
  <w:num w:numId="22">
    <w:abstractNumId w:val="5"/>
  </w:num>
  <w:num w:numId="23">
    <w:abstractNumId w:val="11"/>
  </w:num>
  <w:num w:numId="24">
    <w:abstractNumId w:val="14"/>
  </w:num>
  <w:num w:numId="25">
    <w:abstractNumId w:val="13"/>
  </w:num>
  <w:num w:numId="26">
    <w:abstractNumId w:val="8"/>
  </w:num>
  <w:num w:numId="27">
    <w:abstractNumId w:val="32"/>
  </w:num>
  <w:num w:numId="28">
    <w:abstractNumId w:val="2"/>
  </w:num>
  <w:num w:numId="29">
    <w:abstractNumId w:val="7"/>
  </w:num>
  <w:num w:numId="30">
    <w:abstractNumId w:val="10"/>
  </w:num>
  <w:num w:numId="31">
    <w:abstractNumId w:val="27"/>
  </w:num>
  <w:num w:numId="32">
    <w:abstractNumId w:val="33"/>
  </w:num>
  <w:num w:numId="33">
    <w:abstractNumId w:val="4"/>
  </w:num>
  <w:num w:numId="34">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2C9"/>
    <w:rsid w:val="00005F36"/>
    <w:rsid w:val="0001216E"/>
    <w:rsid w:val="000141BB"/>
    <w:rsid w:val="00027083"/>
    <w:rsid w:val="00027A70"/>
    <w:rsid w:val="00031B12"/>
    <w:rsid w:val="00043A74"/>
    <w:rsid w:val="0004402A"/>
    <w:rsid w:val="00056236"/>
    <w:rsid w:val="00063408"/>
    <w:rsid w:val="000843EC"/>
    <w:rsid w:val="000A465C"/>
    <w:rsid w:val="000A497D"/>
    <w:rsid w:val="000D2E68"/>
    <w:rsid w:val="000D65CA"/>
    <w:rsid w:val="000E10F5"/>
    <w:rsid w:val="000E110B"/>
    <w:rsid w:val="000E4CE6"/>
    <w:rsid w:val="000E52CC"/>
    <w:rsid w:val="00100670"/>
    <w:rsid w:val="001017AF"/>
    <w:rsid w:val="00112520"/>
    <w:rsid w:val="00112BD0"/>
    <w:rsid w:val="00113BB2"/>
    <w:rsid w:val="001169BC"/>
    <w:rsid w:val="001421C5"/>
    <w:rsid w:val="00146814"/>
    <w:rsid w:val="00163544"/>
    <w:rsid w:val="00172B44"/>
    <w:rsid w:val="00172E4A"/>
    <w:rsid w:val="0018206C"/>
    <w:rsid w:val="00184C6F"/>
    <w:rsid w:val="001907AA"/>
    <w:rsid w:val="001928ED"/>
    <w:rsid w:val="00193D8D"/>
    <w:rsid w:val="001B752F"/>
    <w:rsid w:val="001C39CD"/>
    <w:rsid w:val="001C6654"/>
    <w:rsid w:val="001D63A5"/>
    <w:rsid w:val="001E11CB"/>
    <w:rsid w:val="001E20B6"/>
    <w:rsid w:val="001E219D"/>
    <w:rsid w:val="001F0C92"/>
    <w:rsid w:val="001F307A"/>
    <w:rsid w:val="001F4548"/>
    <w:rsid w:val="001F76EA"/>
    <w:rsid w:val="0023312D"/>
    <w:rsid w:val="00233BDF"/>
    <w:rsid w:val="00235A38"/>
    <w:rsid w:val="002472DA"/>
    <w:rsid w:val="0025558D"/>
    <w:rsid w:val="00274800"/>
    <w:rsid w:val="00275213"/>
    <w:rsid w:val="00292F49"/>
    <w:rsid w:val="002962CB"/>
    <w:rsid w:val="002A4B79"/>
    <w:rsid w:val="002C55F4"/>
    <w:rsid w:val="002F3A78"/>
    <w:rsid w:val="00307EB9"/>
    <w:rsid w:val="00310396"/>
    <w:rsid w:val="00312E2B"/>
    <w:rsid w:val="00316984"/>
    <w:rsid w:val="003173C7"/>
    <w:rsid w:val="003173D1"/>
    <w:rsid w:val="00317CA8"/>
    <w:rsid w:val="003341C0"/>
    <w:rsid w:val="00336959"/>
    <w:rsid w:val="003423E0"/>
    <w:rsid w:val="0034766A"/>
    <w:rsid w:val="003520C9"/>
    <w:rsid w:val="00354BBA"/>
    <w:rsid w:val="00354F0B"/>
    <w:rsid w:val="003552DD"/>
    <w:rsid w:val="00356D3A"/>
    <w:rsid w:val="003608AB"/>
    <w:rsid w:val="00363A67"/>
    <w:rsid w:val="00371BE9"/>
    <w:rsid w:val="00386757"/>
    <w:rsid w:val="003867CF"/>
    <w:rsid w:val="003A366C"/>
    <w:rsid w:val="003A602F"/>
    <w:rsid w:val="003B2816"/>
    <w:rsid w:val="003C6879"/>
    <w:rsid w:val="003E1A1F"/>
    <w:rsid w:val="003E3368"/>
    <w:rsid w:val="00401297"/>
    <w:rsid w:val="0040795E"/>
    <w:rsid w:val="00410CCF"/>
    <w:rsid w:val="00423220"/>
    <w:rsid w:val="0043417C"/>
    <w:rsid w:val="00443438"/>
    <w:rsid w:val="004441B5"/>
    <w:rsid w:val="004465E6"/>
    <w:rsid w:val="00450F75"/>
    <w:rsid w:val="00474304"/>
    <w:rsid w:val="00476743"/>
    <w:rsid w:val="00480D99"/>
    <w:rsid w:val="004B1741"/>
    <w:rsid w:val="004C2BA5"/>
    <w:rsid w:val="004C3736"/>
    <w:rsid w:val="004D4007"/>
    <w:rsid w:val="004F3991"/>
    <w:rsid w:val="004F3D2C"/>
    <w:rsid w:val="004F7982"/>
    <w:rsid w:val="005052EE"/>
    <w:rsid w:val="005231BD"/>
    <w:rsid w:val="00524812"/>
    <w:rsid w:val="0053609B"/>
    <w:rsid w:val="00553D3C"/>
    <w:rsid w:val="005602DA"/>
    <w:rsid w:val="005810A3"/>
    <w:rsid w:val="0058462D"/>
    <w:rsid w:val="00594B5F"/>
    <w:rsid w:val="0059652E"/>
    <w:rsid w:val="00596957"/>
    <w:rsid w:val="005A34BB"/>
    <w:rsid w:val="005A39FE"/>
    <w:rsid w:val="005B3AFC"/>
    <w:rsid w:val="005B46EE"/>
    <w:rsid w:val="005C2C86"/>
    <w:rsid w:val="005D5B2A"/>
    <w:rsid w:val="005E5198"/>
    <w:rsid w:val="005F1184"/>
    <w:rsid w:val="005F4960"/>
    <w:rsid w:val="005F5D94"/>
    <w:rsid w:val="00610169"/>
    <w:rsid w:val="00613A1C"/>
    <w:rsid w:val="0062359E"/>
    <w:rsid w:val="00625F7F"/>
    <w:rsid w:val="00642C20"/>
    <w:rsid w:val="00662C08"/>
    <w:rsid w:val="00670704"/>
    <w:rsid w:val="0067680B"/>
    <w:rsid w:val="006904FE"/>
    <w:rsid w:val="00690C45"/>
    <w:rsid w:val="00696494"/>
    <w:rsid w:val="00696526"/>
    <w:rsid w:val="006A3624"/>
    <w:rsid w:val="006A4EA6"/>
    <w:rsid w:val="006A731F"/>
    <w:rsid w:val="006C5177"/>
    <w:rsid w:val="006D1FEF"/>
    <w:rsid w:val="006D3E37"/>
    <w:rsid w:val="006E12DE"/>
    <w:rsid w:val="006F4279"/>
    <w:rsid w:val="006F4CE9"/>
    <w:rsid w:val="006F7BEA"/>
    <w:rsid w:val="00702205"/>
    <w:rsid w:val="00705D7D"/>
    <w:rsid w:val="00721372"/>
    <w:rsid w:val="00723743"/>
    <w:rsid w:val="0072552C"/>
    <w:rsid w:val="0073003D"/>
    <w:rsid w:val="00732C08"/>
    <w:rsid w:val="00733E70"/>
    <w:rsid w:val="0074531D"/>
    <w:rsid w:val="00754AEC"/>
    <w:rsid w:val="0076133D"/>
    <w:rsid w:val="007621C4"/>
    <w:rsid w:val="0077578D"/>
    <w:rsid w:val="00782333"/>
    <w:rsid w:val="007855F8"/>
    <w:rsid w:val="00790CF7"/>
    <w:rsid w:val="007929E2"/>
    <w:rsid w:val="007A00AE"/>
    <w:rsid w:val="007A1D71"/>
    <w:rsid w:val="007A3E47"/>
    <w:rsid w:val="007A50B3"/>
    <w:rsid w:val="007A569C"/>
    <w:rsid w:val="007B0527"/>
    <w:rsid w:val="007B6071"/>
    <w:rsid w:val="007B6388"/>
    <w:rsid w:val="007D175A"/>
    <w:rsid w:val="007D2ECE"/>
    <w:rsid w:val="007E1CB2"/>
    <w:rsid w:val="007F0ACD"/>
    <w:rsid w:val="007F11D3"/>
    <w:rsid w:val="007F3637"/>
    <w:rsid w:val="00807D33"/>
    <w:rsid w:val="00807F7F"/>
    <w:rsid w:val="008204FA"/>
    <w:rsid w:val="00824D81"/>
    <w:rsid w:val="008344A7"/>
    <w:rsid w:val="00855AF1"/>
    <w:rsid w:val="008561DE"/>
    <w:rsid w:val="00892739"/>
    <w:rsid w:val="008B726F"/>
    <w:rsid w:val="008E3A8A"/>
    <w:rsid w:val="008E639E"/>
    <w:rsid w:val="008F7356"/>
    <w:rsid w:val="00920FAF"/>
    <w:rsid w:val="00930B6D"/>
    <w:rsid w:val="00931A8C"/>
    <w:rsid w:val="00966814"/>
    <w:rsid w:val="009675FA"/>
    <w:rsid w:val="00973ED0"/>
    <w:rsid w:val="00985642"/>
    <w:rsid w:val="00993F34"/>
    <w:rsid w:val="009A45FF"/>
    <w:rsid w:val="009A6263"/>
    <w:rsid w:val="009B5EB6"/>
    <w:rsid w:val="009C517D"/>
    <w:rsid w:val="009D3295"/>
    <w:rsid w:val="009D6EAF"/>
    <w:rsid w:val="009F0AF5"/>
    <w:rsid w:val="009F2CDE"/>
    <w:rsid w:val="009F4E6A"/>
    <w:rsid w:val="009F7844"/>
    <w:rsid w:val="00A0124C"/>
    <w:rsid w:val="00A4521E"/>
    <w:rsid w:val="00A56C0F"/>
    <w:rsid w:val="00A617C9"/>
    <w:rsid w:val="00A61B76"/>
    <w:rsid w:val="00A6721D"/>
    <w:rsid w:val="00A758F2"/>
    <w:rsid w:val="00A76A76"/>
    <w:rsid w:val="00A96888"/>
    <w:rsid w:val="00AA6E13"/>
    <w:rsid w:val="00AA797B"/>
    <w:rsid w:val="00AC081C"/>
    <w:rsid w:val="00AC4617"/>
    <w:rsid w:val="00AC702E"/>
    <w:rsid w:val="00AD1185"/>
    <w:rsid w:val="00AD7E9A"/>
    <w:rsid w:val="00AE3E48"/>
    <w:rsid w:val="00AF6EA7"/>
    <w:rsid w:val="00AF6F32"/>
    <w:rsid w:val="00B02DCA"/>
    <w:rsid w:val="00B0708C"/>
    <w:rsid w:val="00B151E7"/>
    <w:rsid w:val="00B20D91"/>
    <w:rsid w:val="00B24CC1"/>
    <w:rsid w:val="00B36E44"/>
    <w:rsid w:val="00B41CC6"/>
    <w:rsid w:val="00B42DA4"/>
    <w:rsid w:val="00B56E1C"/>
    <w:rsid w:val="00B602F2"/>
    <w:rsid w:val="00B777B8"/>
    <w:rsid w:val="00B86147"/>
    <w:rsid w:val="00B95177"/>
    <w:rsid w:val="00BA2865"/>
    <w:rsid w:val="00BA4B71"/>
    <w:rsid w:val="00BB03D4"/>
    <w:rsid w:val="00BC3585"/>
    <w:rsid w:val="00BD6EA1"/>
    <w:rsid w:val="00C026E2"/>
    <w:rsid w:val="00C10599"/>
    <w:rsid w:val="00C1251A"/>
    <w:rsid w:val="00C148DA"/>
    <w:rsid w:val="00C1492C"/>
    <w:rsid w:val="00C174A3"/>
    <w:rsid w:val="00C2662D"/>
    <w:rsid w:val="00C331D9"/>
    <w:rsid w:val="00C66771"/>
    <w:rsid w:val="00C7062B"/>
    <w:rsid w:val="00C87CA5"/>
    <w:rsid w:val="00C9516B"/>
    <w:rsid w:val="00CA5186"/>
    <w:rsid w:val="00CA7B54"/>
    <w:rsid w:val="00CD5004"/>
    <w:rsid w:val="00CE6C20"/>
    <w:rsid w:val="00CE74DC"/>
    <w:rsid w:val="00CF03B2"/>
    <w:rsid w:val="00CF2CCB"/>
    <w:rsid w:val="00CF6696"/>
    <w:rsid w:val="00D10EFF"/>
    <w:rsid w:val="00D13DBE"/>
    <w:rsid w:val="00D15518"/>
    <w:rsid w:val="00D32041"/>
    <w:rsid w:val="00D44703"/>
    <w:rsid w:val="00D54E2E"/>
    <w:rsid w:val="00D55933"/>
    <w:rsid w:val="00D6032D"/>
    <w:rsid w:val="00D737D6"/>
    <w:rsid w:val="00D766EB"/>
    <w:rsid w:val="00D77158"/>
    <w:rsid w:val="00D84161"/>
    <w:rsid w:val="00D85E7C"/>
    <w:rsid w:val="00D92408"/>
    <w:rsid w:val="00DC01F0"/>
    <w:rsid w:val="00DC11A0"/>
    <w:rsid w:val="00DC2B9B"/>
    <w:rsid w:val="00DC57C9"/>
    <w:rsid w:val="00DC6727"/>
    <w:rsid w:val="00DC7E41"/>
    <w:rsid w:val="00DD4299"/>
    <w:rsid w:val="00DE03A5"/>
    <w:rsid w:val="00DF6C83"/>
    <w:rsid w:val="00DF6F37"/>
    <w:rsid w:val="00E01D96"/>
    <w:rsid w:val="00E0640D"/>
    <w:rsid w:val="00E134E2"/>
    <w:rsid w:val="00E22858"/>
    <w:rsid w:val="00E248C0"/>
    <w:rsid w:val="00E35E96"/>
    <w:rsid w:val="00E37365"/>
    <w:rsid w:val="00E40DDC"/>
    <w:rsid w:val="00E446EF"/>
    <w:rsid w:val="00E45949"/>
    <w:rsid w:val="00E52148"/>
    <w:rsid w:val="00E57152"/>
    <w:rsid w:val="00E711E5"/>
    <w:rsid w:val="00E76ABA"/>
    <w:rsid w:val="00E96724"/>
    <w:rsid w:val="00EA0950"/>
    <w:rsid w:val="00EB2E8F"/>
    <w:rsid w:val="00EB4F44"/>
    <w:rsid w:val="00EB7755"/>
    <w:rsid w:val="00ED0450"/>
    <w:rsid w:val="00EE5C7E"/>
    <w:rsid w:val="00EF14D4"/>
    <w:rsid w:val="00EF22C9"/>
    <w:rsid w:val="00F105E9"/>
    <w:rsid w:val="00F10D8D"/>
    <w:rsid w:val="00F169A6"/>
    <w:rsid w:val="00F178D1"/>
    <w:rsid w:val="00F43057"/>
    <w:rsid w:val="00F53D4A"/>
    <w:rsid w:val="00F57139"/>
    <w:rsid w:val="00F57424"/>
    <w:rsid w:val="00F607C7"/>
    <w:rsid w:val="00F6500F"/>
    <w:rsid w:val="00F86770"/>
    <w:rsid w:val="00F9193F"/>
    <w:rsid w:val="00F92A2E"/>
    <w:rsid w:val="00F966C3"/>
    <w:rsid w:val="00FA3910"/>
    <w:rsid w:val="00FA4689"/>
    <w:rsid w:val="00FD1D2B"/>
    <w:rsid w:val="00FD748E"/>
    <w:rsid w:val="00FE6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2C9"/>
    <w:rPr>
      <w:sz w:val="20"/>
      <w:szCs w:val="20"/>
    </w:rPr>
  </w:style>
  <w:style w:type="paragraph" w:styleId="Heading1">
    <w:name w:val="heading 1"/>
    <w:basedOn w:val="Normal"/>
    <w:next w:val="Normal"/>
    <w:link w:val="Heading1Char"/>
    <w:uiPriority w:val="99"/>
    <w:qFormat/>
    <w:rsid w:val="00EF22C9"/>
    <w:pPr>
      <w:keepNext/>
      <w:spacing w:before="600" w:after="360"/>
      <w:jc w:val="center"/>
      <w:outlineLvl w:val="0"/>
    </w:pPr>
    <w:rPr>
      <w:rFonts w:ascii="Cambria" w:hAnsi="Cambria"/>
      <w:b/>
      <w:kern w:val="32"/>
      <w:sz w:val="32"/>
    </w:rPr>
  </w:style>
  <w:style w:type="paragraph" w:styleId="Heading2">
    <w:name w:val="heading 2"/>
    <w:basedOn w:val="Normal"/>
    <w:next w:val="Normal"/>
    <w:link w:val="Heading2Char"/>
    <w:uiPriority w:val="99"/>
    <w:qFormat/>
    <w:rsid w:val="00EF22C9"/>
    <w:pPr>
      <w:keepNext/>
      <w:spacing w:before="360"/>
      <w:jc w:val="both"/>
      <w:outlineLvl w:val="1"/>
    </w:pPr>
    <w:rPr>
      <w:rFonts w:ascii="Cambria" w:hAnsi="Cambria"/>
      <w:b/>
      <w:i/>
      <w:sz w:val="28"/>
    </w:rPr>
  </w:style>
  <w:style w:type="paragraph" w:styleId="Heading3">
    <w:name w:val="heading 3"/>
    <w:basedOn w:val="Normal"/>
    <w:next w:val="Normal"/>
    <w:link w:val="Heading3Char"/>
    <w:uiPriority w:val="99"/>
    <w:qFormat/>
    <w:rsid w:val="00EF22C9"/>
    <w:pPr>
      <w:keepNext/>
      <w:tabs>
        <w:tab w:val="left" w:pos="360"/>
      </w:tabs>
      <w:spacing w:before="120"/>
      <w:ind w:left="360" w:hanging="360"/>
      <w:jc w:val="both"/>
      <w:outlineLvl w:val="2"/>
    </w:pPr>
    <w:rPr>
      <w:rFonts w:ascii="Cambria" w:hAnsi="Cambria"/>
      <w:b/>
      <w:sz w:val="26"/>
    </w:rPr>
  </w:style>
  <w:style w:type="paragraph" w:styleId="Heading4">
    <w:name w:val="heading 4"/>
    <w:basedOn w:val="Normal"/>
    <w:next w:val="Normal"/>
    <w:link w:val="Heading4Char"/>
    <w:uiPriority w:val="99"/>
    <w:qFormat/>
    <w:rsid w:val="00EF22C9"/>
    <w:pPr>
      <w:keepNext/>
      <w:outlineLvl w:val="3"/>
    </w:pPr>
    <w:rPr>
      <w:rFonts w:ascii="Calibri" w:hAnsi="Calibri"/>
      <w:b/>
      <w:sz w:val="28"/>
    </w:rPr>
  </w:style>
  <w:style w:type="paragraph" w:styleId="Heading5">
    <w:name w:val="heading 5"/>
    <w:basedOn w:val="Normal"/>
    <w:next w:val="Normal"/>
    <w:link w:val="Heading5Char"/>
    <w:uiPriority w:val="99"/>
    <w:qFormat/>
    <w:rsid w:val="00EF22C9"/>
    <w:pPr>
      <w:keepNext/>
      <w:spacing w:before="120"/>
      <w:jc w:val="both"/>
      <w:outlineLvl w:val="4"/>
    </w:pPr>
    <w:rPr>
      <w:rFonts w:ascii="Calibri" w:hAnsi="Calibri"/>
      <w:b/>
      <w:i/>
      <w:sz w:val="26"/>
    </w:rPr>
  </w:style>
  <w:style w:type="paragraph" w:styleId="Heading6">
    <w:name w:val="heading 6"/>
    <w:basedOn w:val="Normal"/>
    <w:next w:val="Normal"/>
    <w:link w:val="Heading6Char"/>
    <w:uiPriority w:val="99"/>
    <w:qFormat/>
    <w:rsid w:val="00EF22C9"/>
    <w:pPr>
      <w:keepNext/>
      <w:ind w:firstLine="720"/>
      <w:jc w:val="both"/>
      <w:outlineLvl w:val="5"/>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F22C9"/>
    <w:rPr>
      <w:rFonts w:ascii="Cambria" w:hAnsi="Cambria"/>
      <w:b/>
      <w:kern w:val="32"/>
      <w:sz w:val="32"/>
    </w:rPr>
  </w:style>
  <w:style w:type="character" w:customStyle="1" w:styleId="Heading2Char">
    <w:name w:val="Heading 2 Char"/>
    <w:basedOn w:val="DefaultParagraphFont"/>
    <w:link w:val="Heading2"/>
    <w:uiPriority w:val="99"/>
    <w:semiHidden/>
    <w:locked/>
    <w:rsid w:val="00EF22C9"/>
    <w:rPr>
      <w:rFonts w:ascii="Cambria" w:hAnsi="Cambria"/>
      <w:b/>
      <w:i/>
      <w:sz w:val="28"/>
    </w:rPr>
  </w:style>
  <w:style w:type="character" w:customStyle="1" w:styleId="Heading3Char">
    <w:name w:val="Heading 3 Char"/>
    <w:basedOn w:val="DefaultParagraphFont"/>
    <w:link w:val="Heading3"/>
    <w:uiPriority w:val="99"/>
    <w:semiHidden/>
    <w:locked/>
    <w:rsid w:val="00EF22C9"/>
    <w:rPr>
      <w:rFonts w:ascii="Cambria" w:hAnsi="Cambria"/>
      <w:b/>
      <w:sz w:val="26"/>
    </w:rPr>
  </w:style>
  <w:style w:type="character" w:customStyle="1" w:styleId="Heading4Char">
    <w:name w:val="Heading 4 Char"/>
    <w:basedOn w:val="DefaultParagraphFont"/>
    <w:link w:val="Heading4"/>
    <w:uiPriority w:val="99"/>
    <w:semiHidden/>
    <w:locked/>
    <w:rsid w:val="00EF22C9"/>
    <w:rPr>
      <w:rFonts w:ascii="Calibri" w:hAnsi="Calibri"/>
      <w:b/>
      <w:sz w:val="28"/>
    </w:rPr>
  </w:style>
  <w:style w:type="character" w:customStyle="1" w:styleId="Heading5Char">
    <w:name w:val="Heading 5 Char"/>
    <w:basedOn w:val="DefaultParagraphFont"/>
    <w:link w:val="Heading5"/>
    <w:uiPriority w:val="99"/>
    <w:semiHidden/>
    <w:locked/>
    <w:rsid w:val="00EF22C9"/>
    <w:rPr>
      <w:rFonts w:ascii="Calibri" w:hAnsi="Calibri"/>
      <w:b/>
      <w:i/>
      <w:sz w:val="26"/>
    </w:rPr>
  </w:style>
  <w:style w:type="character" w:customStyle="1" w:styleId="Heading6Char">
    <w:name w:val="Heading 6 Char"/>
    <w:basedOn w:val="DefaultParagraphFont"/>
    <w:link w:val="Heading6"/>
    <w:uiPriority w:val="99"/>
    <w:semiHidden/>
    <w:locked/>
    <w:rsid w:val="00EF22C9"/>
    <w:rPr>
      <w:rFonts w:ascii="Calibri" w:hAnsi="Calibri"/>
      <w:b/>
    </w:rPr>
  </w:style>
  <w:style w:type="paragraph" w:styleId="Header">
    <w:name w:val="header"/>
    <w:basedOn w:val="Normal"/>
    <w:link w:val="HeaderChar"/>
    <w:uiPriority w:val="99"/>
    <w:rsid w:val="00EF22C9"/>
    <w:pPr>
      <w:tabs>
        <w:tab w:val="center" w:pos="4320"/>
        <w:tab w:val="right" w:pos="8640"/>
      </w:tabs>
    </w:pPr>
  </w:style>
  <w:style w:type="character" w:customStyle="1" w:styleId="HeaderChar">
    <w:name w:val="Header Char"/>
    <w:basedOn w:val="DefaultParagraphFont"/>
    <w:link w:val="Header"/>
    <w:uiPriority w:val="99"/>
    <w:semiHidden/>
    <w:locked/>
    <w:rsid w:val="00EF22C9"/>
    <w:rPr>
      <w:sz w:val="20"/>
    </w:rPr>
  </w:style>
  <w:style w:type="paragraph" w:styleId="Footer">
    <w:name w:val="footer"/>
    <w:basedOn w:val="Normal"/>
    <w:link w:val="FooterChar"/>
    <w:uiPriority w:val="99"/>
    <w:rsid w:val="00EF22C9"/>
    <w:pPr>
      <w:tabs>
        <w:tab w:val="center" w:pos="4320"/>
        <w:tab w:val="right" w:pos="8640"/>
      </w:tabs>
    </w:pPr>
  </w:style>
  <w:style w:type="character" w:customStyle="1" w:styleId="FooterChar">
    <w:name w:val="Footer Char"/>
    <w:basedOn w:val="DefaultParagraphFont"/>
    <w:link w:val="Footer"/>
    <w:uiPriority w:val="99"/>
    <w:semiHidden/>
    <w:locked/>
    <w:rsid w:val="00EF22C9"/>
    <w:rPr>
      <w:sz w:val="20"/>
    </w:rPr>
  </w:style>
  <w:style w:type="paragraph" w:customStyle="1" w:styleId="Print-FromToSubjectDate">
    <w:name w:val="Print- From: To: Subject: Date:"/>
    <w:basedOn w:val="Normal"/>
    <w:uiPriority w:val="99"/>
    <w:rsid w:val="00EF22C9"/>
    <w:pPr>
      <w:pBdr>
        <w:left w:val="single" w:sz="18" w:space="1" w:color="auto"/>
      </w:pBdr>
    </w:pPr>
    <w:rPr>
      <w:rFonts w:ascii="Arial" w:hAnsi="Arial"/>
    </w:rPr>
  </w:style>
  <w:style w:type="paragraph" w:customStyle="1" w:styleId="DefaultText">
    <w:name w:val="Default Text"/>
    <w:uiPriority w:val="99"/>
    <w:rsid w:val="00EF22C9"/>
    <w:rPr>
      <w:color w:val="000000"/>
      <w:sz w:val="24"/>
      <w:szCs w:val="20"/>
    </w:rPr>
  </w:style>
  <w:style w:type="paragraph" w:styleId="BodyText">
    <w:name w:val="Body Text"/>
    <w:basedOn w:val="Normal"/>
    <w:link w:val="BodyTextChar"/>
    <w:uiPriority w:val="99"/>
    <w:rsid w:val="00EF22C9"/>
  </w:style>
  <w:style w:type="character" w:customStyle="1" w:styleId="BodyTextChar">
    <w:name w:val="Body Text Char"/>
    <w:basedOn w:val="DefaultParagraphFont"/>
    <w:link w:val="BodyText"/>
    <w:uiPriority w:val="99"/>
    <w:semiHidden/>
    <w:locked/>
    <w:rsid w:val="00EF22C9"/>
    <w:rPr>
      <w:sz w:val="20"/>
    </w:rPr>
  </w:style>
  <w:style w:type="paragraph" w:styleId="Date">
    <w:name w:val="Date"/>
    <w:basedOn w:val="Normal"/>
    <w:next w:val="Normal"/>
    <w:link w:val="DateChar"/>
    <w:uiPriority w:val="99"/>
    <w:rsid w:val="00EF22C9"/>
  </w:style>
  <w:style w:type="character" w:customStyle="1" w:styleId="DateChar">
    <w:name w:val="Date Char"/>
    <w:basedOn w:val="DefaultParagraphFont"/>
    <w:link w:val="Date"/>
    <w:uiPriority w:val="99"/>
    <w:semiHidden/>
    <w:locked/>
    <w:rsid w:val="00EF22C9"/>
    <w:rPr>
      <w:sz w:val="20"/>
    </w:rPr>
  </w:style>
  <w:style w:type="paragraph" w:customStyle="1" w:styleId="InsideAddressName">
    <w:name w:val="Inside Address Name"/>
    <w:basedOn w:val="Normal"/>
    <w:uiPriority w:val="99"/>
    <w:rsid w:val="00EF22C9"/>
  </w:style>
  <w:style w:type="paragraph" w:customStyle="1" w:styleId="InsideAddress">
    <w:name w:val="Inside Address"/>
    <w:basedOn w:val="Normal"/>
    <w:uiPriority w:val="99"/>
    <w:rsid w:val="00EF22C9"/>
  </w:style>
  <w:style w:type="paragraph" w:styleId="Salutation">
    <w:name w:val="Salutation"/>
    <w:basedOn w:val="Normal"/>
    <w:next w:val="Normal"/>
    <w:link w:val="SalutationChar"/>
    <w:uiPriority w:val="99"/>
    <w:rsid w:val="00EF22C9"/>
  </w:style>
  <w:style w:type="character" w:customStyle="1" w:styleId="SalutationChar">
    <w:name w:val="Salutation Char"/>
    <w:basedOn w:val="DefaultParagraphFont"/>
    <w:link w:val="Salutation"/>
    <w:uiPriority w:val="99"/>
    <w:semiHidden/>
    <w:locked/>
    <w:rsid w:val="00EF22C9"/>
    <w:rPr>
      <w:sz w:val="20"/>
    </w:rPr>
  </w:style>
  <w:style w:type="paragraph" w:styleId="Closing">
    <w:name w:val="Closing"/>
    <w:basedOn w:val="Normal"/>
    <w:link w:val="ClosingChar"/>
    <w:uiPriority w:val="99"/>
    <w:rsid w:val="00EF22C9"/>
  </w:style>
  <w:style w:type="character" w:customStyle="1" w:styleId="ClosingChar">
    <w:name w:val="Closing Char"/>
    <w:basedOn w:val="DefaultParagraphFont"/>
    <w:link w:val="Closing"/>
    <w:uiPriority w:val="99"/>
    <w:semiHidden/>
    <w:locked/>
    <w:rsid w:val="00EF22C9"/>
    <w:rPr>
      <w:sz w:val="20"/>
    </w:rPr>
  </w:style>
  <w:style w:type="paragraph" w:styleId="Signature">
    <w:name w:val="Signature"/>
    <w:basedOn w:val="Normal"/>
    <w:link w:val="SignatureChar"/>
    <w:uiPriority w:val="99"/>
    <w:rsid w:val="00EF22C9"/>
  </w:style>
  <w:style w:type="character" w:customStyle="1" w:styleId="SignatureChar">
    <w:name w:val="Signature Char"/>
    <w:basedOn w:val="DefaultParagraphFont"/>
    <w:link w:val="Signature"/>
    <w:uiPriority w:val="99"/>
    <w:semiHidden/>
    <w:locked/>
    <w:rsid w:val="00EF22C9"/>
    <w:rPr>
      <w:sz w:val="20"/>
    </w:rPr>
  </w:style>
  <w:style w:type="character" w:styleId="Hyperlink">
    <w:name w:val="Hyperlink"/>
    <w:basedOn w:val="DefaultParagraphFont"/>
    <w:uiPriority w:val="99"/>
    <w:rsid w:val="00EF22C9"/>
    <w:rPr>
      <w:rFonts w:cs="Times New Roman"/>
      <w:color w:val="0000FF"/>
      <w:u w:val="single"/>
    </w:rPr>
  </w:style>
  <w:style w:type="paragraph" w:customStyle="1" w:styleId="TableText">
    <w:name w:val="Table Text"/>
    <w:uiPriority w:val="99"/>
    <w:rsid w:val="00EF22C9"/>
    <w:rPr>
      <w:rFonts w:ascii="Arial Narrow" w:hAnsi="Arial Narrow"/>
      <w:color w:val="000000"/>
      <w:sz w:val="24"/>
      <w:szCs w:val="20"/>
    </w:rPr>
  </w:style>
  <w:style w:type="paragraph" w:styleId="BodyTextIndent">
    <w:name w:val="Body Text Indent"/>
    <w:basedOn w:val="Normal"/>
    <w:link w:val="BodyTextIndentChar"/>
    <w:uiPriority w:val="99"/>
    <w:rsid w:val="00EF22C9"/>
    <w:pPr>
      <w:spacing w:before="120"/>
      <w:ind w:firstLine="720"/>
      <w:jc w:val="both"/>
    </w:pPr>
  </w:style>
  <w:style w:type="character" w:customStyle="1" w:styleId="BodyTextIndentChar">
    <w:name w:val="Body Text Indent Char"/>
    <w:basedOn w:val="DefaultParagraphFont"/>
    <w:link w:val="BodyTextIndent"/>
    <w:uiPriority w:val="99"/>
    <w:semiHidden/>
    <w:locked/>
    <w:rsid w:val="00EF22C9"/>
    <w:rPr>
      <w:sz w:val="20"/>
    </w:rPr>
  </w:style>
  <w:style w:type="character" w:styleId="FollowedHyperlink">
    <w:name w:val="FollowedHyperlink"/>
    <w:basedOn w:val="DefaultParagraphFont"/>
    <w:uiPriority w:val="99"/>
    <w:rsid w:val="00EF22C9"/>
    <w:rPr>
      <w:rFonts w:cs="Times New Roman"/>
      <w:color w:val="800080"/>
      <w:u w:val="single"/>
    </w:rPr>
  </w:style>
  <w:style w:type="table" w:styleId="TableGrid">
    <w:name w:val="Table Grid"/>
    <w:basedOn w:val="TableNormal"/>
    <w:uiPriority w:val="99"/>
    <w:rsid w:val="00EF22C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EF22C9"/>
    <w:rPr>
      <w:rFonts w:cs="Times New Roman"/>
    </w:rPr>
  </w:style>
  <w:style w:type="paragraph" w:styleId="TOC2">
    <w:name w:val="toc 2"/>
    <w:basedOn w:val="Normal"/>
    <w:next w:val="Normal"/>
    <w:autoRedefine/>
    <w:uiPriority w:val="99"/>
    <w:semiHidden/>
    <w:rsid w:val="00EF22C9"/>
    <w:pPr>
      <w:ind w:left="200"/>
    </w:pPr>
  </w:style>
  <w:style w:type="paragraph" w:styleId="TOC1">
    <w:name w:val="toc 1"/>
    <w:basedOn w:val="Normal"/>
    <w:next w:val="Normal"/>
    <w:autoRedefine/>
    <w:uiPriority w:val="99"/>
    <w:semiHidden/>
    <w:rsid w:val="00EF22C9"/>
  </w:style>
  <w:style w:type="paragraph" w:styleId="TOC3">
    <w:name w:val="toc 3"/>
    <w:basedOn w:val="Normal"/>
    <w:next w:val="Normal"/>
    <w:autoRedefine/>
    <w:uiPriority w:val="99"/>
    <w:semiHidden/>
    <w:rsid w:val="00EF22C9"/>
    <w:pPr>
      <w:ind w:left="400"/>
    </w:pPr>
  </w:style>
  <w:style w:type="paragraph" w:customStyle="1" w:styleId="BulletStatusReport">
    <w:name w:val="Bullet Status Report"/>
    <w:basedOn w:val="Normal"/>
    <w:uiPriority w:val="99"/>
    <w:rsid w:val="00EF22C9"/>
    <w:pPr>
      <w:numPr>
        <w:numId w:val="1"/>
      </w:numPr>
      <w:tabs>
        <w:tab w:val="left" w:pos="360"/>
        <w:tab w:val="num" w:pos="1080"/>
      </w:tabs>
      <w:spacing w:before="120"/>
      <w:ind w:left="360"/>
      <w:jc w:val="both"/>
    </w:pPr>
    <w:rPr>
      <w:b/>
    </w:rPr>
  </w:style>
  <w:style w:type="character" w:styleId="Strong">
    <w:name w:val="Strong"/>
    <w:basedOn w:val="DefaultParagraphFont"/>
    <w:uiPriority w:val="99"/>
    <w:qFormat/>
    <w:rsid w:val="00EF22C9"/>
    <w:rPr>
      <w:rFonts w:cs="Times New Roman"/>
      <w:b/>
    </w:rPr>
  </w:style>
  <w:style w:type="character" w:styleId="Emphasis">
    <w:name w:val="Emphasis"/>
    <w:basedOn w:val="DefaultParagraphFont"/>
    <w:uiPriority w:val="99"/>
    <w:qFormat/>
    <w:rsid w:val="00EF22C9"/>
    <w:rPr>
      <w:rFonts w:cs="Times New Roman"/>
      <w:i/>
    </w:rPr>
  </w:style>
  <w:style w:type="paragraph" w:styleId="FootnoteText">
    <w:name w:val="footnote text"/>
    <w:basedOn w:val="Normal"/>
    <w:link w:val="FootnoteTextChar"/>
    <w:uiPriority w:val="99"/>
    <w:semiHidden/>
    <w:rsid w:val="00EF22C9"/>
    <w:pPr>
      <w:widowControl w:val="0"/>
      <w:spacing w:before="100"/>
      <w:jc w:val="both"/>
    </w:pPr>
    <w:rPr>
      <w:rFonts w:ascii="Arial" w:hAnsi="Arial"/>
    </w:rPr>
  </w:style>
  <w:style w:type="character" w:customStyle="1" w:styleId="FootnoteTextChar">
    <w:name w:val="Footnote Text Char"/>
    <w:basedOn w:val="DefaultParagraphFont"/>
    <w:link w:val="FootnoteText"/>
    <w:uiPriority w:val="99"/>
    <w:semiHidden/>
    <w:locked/>
    <w:rsid w:val="00EF22C9"/>
    <w:rPr>
      <w:rFonts w:ascii="Arial" w:hAnsi="Arial"/>
      <w:snapToGrid w:val="0"/>
      <w:lang w:val="en-US" w:eastAsia="en-US"/>
    </w:rPr>
  </w:style>
  <w:style w:type="character" w:styleId="FootnoteReference">
    <w:name w:val="footnote reference"/>
    <w:basedOn w:val="DefaultParagraphFont"/>
    <w:uiPriority w:val="99"/>
    <w:semiHidden/>
    <w:rsid w:val="00EF22C9"/>
    <w:rPr>
      <w:rFonts w:cs="Times New Roman"/>
      <w:vertAlign w:val="superscript"/>
    </w:rPr>
  </w:style>
  <w:style w:type="character" w:styleId="EndnoteReference">
    <w:name w:val="endnote reference"/>
    <w:basedOn w:val="DefaultParagraphFont"/>
    <w:uiPriority w:val="99"/>
    <w:semiHidden/>
    <w:rsid w:val="00EF22C9"/>
    <w:rPr>
      <w:rFonts w:cs="Times New Roman"/>
      <w:vertAlign w:val="superscript"/>
    </w:rPr>
  </w:style>
  <w:style w:type="paragraph" w:styleId="EndnoteText">
    <w:name w:val="endnote text"/>
    <w:basedOn w:val="Normal"/>
    <w:link w:val="EndnoteTextChar"/>
    <w:uiPriority w:val="99"/>
    <w:semiHidden/>
    <w:rsid w:val="00EF22C9"/>
    <w:pPr>
      <w:widowControl w:val="0"/>
      <w:spacing w:before="100"/>
      <w:jc w:val="both"/>
    </w:pPr>
  </w:style>
  <w:style w:type="character" w:customStyle="1" w:styleId="EndnoteTextChar">
    <w:name w:val="Endnote Text Char"/>
    <w:basedOn w:val="DefaultParagraphFont"/>
    <w:link w:val="EndnoteText"/>
    <w:uiPriority w:val="99"/>
    <w:semiHidden/>
    <w:locked/>
    <w:rsid w:val="00EF22C9"/>
    <w:rPr>
      <w:sz w:val="20"/>
    </w:rPr>
  </w:style>
  <w:style w:type="paragraph" w:styleId="BodyTextIndent3">
    <w:name w:val="Body Text Indent 3"/>
    <w:basedOn w:val="Normal"/>
    <w:link w:val="BodyTextIndent3Char"/>
    <w:uiPriority w:val="99"/>
    <w:rsid w:val="00EF22C9"/>
    <w:pPr>
      <w:spacing w:after="120"/>
      <w:ind w:left="360"/>
    </w:pPr>
    <w:rPr>
      <w:sz w:val="16"/>
    </w:rPr>
  </w:style>
  <w:style w:type="character" w:customStyle="1" w:styleId="BodyTextIndent3Char">
    <w:name w:val="Body Text Indent 3 Char"/>
    <w:basedOn w:val="DefaultParagraphFont"/>
    <w:link w:val="BodyTextIndent3"/>
    <w:uiPriority w:val="99"/>
    <w:semiHidden/>
    <w:locked/>
    <w:rsid w:val="00EF22C9"/>
    <w:rPr>
      <w:sz w:val="16"/>
    </w:rPr>
  </w:style>
  <w:style w:type="paragraph" w:styleId="BalloonText">
    <w:name w:val="Balloon Text"/>
    <w:basedOn w:val="Normal"/>
    <w:link w:val="BalloonTextChar"/>
    <w:uiPriority w:val="99"/>
    <w:semiHidden/>
    <w:rsid w:val="00EF22C9"/>
    <w:rPr>
      <w:rFonts w:ascii="Tahoma" w:hAnsi="Tahoma"/>
      <w:sz w:val="16"/>
    </w:rPr>
  </w:style>
  <w:style w:type="character" w:customStyle="1" w:styleId="BalloonTextChar">
    <w:name w:val="Balloon Text Char"/>
    <w:basedOn w:val="DefaultParagraphFont"/>
    <w:link w:val="BalloonText"/>
    <w:uiPriority w:val="99"/>
    <w:semiHidden/>
    <w:locked/>
    <w:rsid w:val="00EF22C9"/>
    <w:rPr>
      <w:rFonts w:ascii="Tahoma" w:hAnsi="Tahoma"/>
      <w:sz w:val="16"/>
    </w:rPr>
  </w:style>
  <w:style w:type="character" w:styleId="CommentReference">
    <w:name w:val="annotation reference"/>
    <w:basedOn w:val="DefaultParagraphFont"/>
    <w:uiPriority w:val="99"/>
    <w:semiHidden/>
    <w:rsid w:val="00EF22C9"/>
    <w:rPr>
      <w:rFonts w:cs="Times New Roman"/>
      <w:sz w:val="16"/>
    </w:rPr>
  </w:style>
  <w:style w:type="paragraph" w:styleId="CommentText">
    <w:name w:val="annotation text"/>
    <w:basedOn w:val="Normal"/>
    <w:link w:val="CommentTextChar"/>
    <w:uiPriority w:val="99"/>
    <w:semiHidden/>
    <w:rsid w:val="00EF22C9"/>
  </w:style>
  <w:style w:type="character" w:customStyle="1" w:styleId="CommentTextChar">
    <w:name w:val="Comment Text Char"/>
    <w:basedOn w:val="DefaultParagraphFont"/>
    <w:link w:val="CommentText"/>
    <w:uiPriority w:val="99"/>
    <w:semiHidden/>
    <w:locked/>
    <w:rsid w:val="00EF22C9"/>
    <w:rPr>
      <w:sz w:val="20"/>
    </w:rPr>
  </w:style>
  <w:style w:type="paragraph" w:styleId="CommentSubject">
    <w:name w:val="annotation subject"/>
    <w:basedOn w:val="CommentText"/>
    <w:next w:val="CommentText"/>
    <w:link w:val="CommentSubjectChar"/>
    <w:uiPriority w:val="99"/>
    <w:semiHidden/>
    <w:rsid w:val="00EF22C9"/>
    <w:rPr>
      <w:b/>
    </w:rPr>
  </w:style>
  <w:style w:type="character" w:customStyle="1" w:styleId="CommentSubjectChar">
    <w:name w:val="Comment Subject Char"/>
    <w:basedOn w:val="CommentTextChar"/>
    <w:link w:val="CommentSubject"/>
    <w:uiPriority w:val="99"/>
    <w:semiHidden/>
    <w:locked/>
    <w:rsid w:val="00EF22C9"/>
    <w:rPr>
      <w:b/>
      <w:sz w:val="20"/>
    </w:rPr>
  </w:style>
  <w:style w:type="paragraph" w:customStyle="1" w:styleId="FERCparanumber">
    <w:name w:val="FERC paranumber"/>
    <w:basedOn w:val="Normal"/>
    <w:link w:val="FERCparanumberChar"/>
    <w:uiPriority w:val="99"/>
    <w:rsid w:val="00EF22C9"/>
    <w:pPr>
      <w:numPr>
        <w:numId w:val="32"/>
      </w:numPr>
      <w:autoSpaceDE w:val="0"/>
      <w:autoSpaceDN w:val="0"/>
      <w:adjustRightInd w:val="0"/>
      <w:spacing w:line="480" w:lineRule="auto"/>
    </w:pPr>
    <w:rPr>
      <w:sz w:val="26"/>
    </w:rPr>
  </w:style>
  <w:style w:type="character" w:customStyle="1" w:styleId="FERCparanumberChar">
    <w:name w:val="FERC paranumber Char"/>
    <w:link w:val="FERCparanumber"/>
    <w:uiPriority w:val="99"/>
    <w:locked/>
    <w:rsid w:val="00EF22C9"/>
    <w:rPr>
      <w:sz w:val="26"/>
      <w:lang w:val="en-US" w:eastAsia="en-US"/>
    </w:rPr>
  </w:style>
  <w:style w:type="paragraph" w:styleId="NormalWeb">
    <w:name w:val="Normal (Web)"/>
    <w:basedOn w:val="Normal"/>
    <w:uiPriority w:val="99"/>
    <w:semiHidden/>
    <w:unhideWhenUsed/>
    <w:rsid w:val="00BA4B71"/>
    <w:pPr>
      <w:spacing w:before="100" w:beforeAutospacing="1" w:after="100" w:afterAutospacing="1"/>
    </w:pPr>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2C9"/>
    <w:rPr>
      <w:sz w:val="20"/>
      <w:szCs w:val="20"/>
    </w:rPr>
  </w:style>
  <w:style w:type="paragraph" w:styleId="Heading1">
    <w:name w:val="heading 1"/>
    <w:basedOn w:val="Normal"/>
    <w:next w:val="Normal"/>
    <w:link w:val="Heading1Char"/>
    <w:uiPriority w:val="99"/>
    <w:qFormat/>
    <w:rsid w:val="00EF22C9"/>
    <w:pPr>
      <w:keepNext/>
      <w:spacing w:before="600" w:after="360"/>
      <w:jc w:val="center"/>
      <w:outlineLvl w:val="0"/>
    </w:pPr>
    <w:rPr>
      <w:rFonts w:ascii="Cambria" w:hAnsi="Cambria"/>
      <w:b/>
      <w:kern w:val="32"/>
      <w:sz w:val="32"/>
    </w:rPr>
  </w:style>
  <w:style w:type="paragraph" w:styleId="Heading2">
    <w:name w:val="heading 2"/>
    <w:basedOn w:val="Normal"/>
    <w:next w:val="Normal"/>
    <w:link w:val="Heading2Char"/>
    <w:uiPriority w:val="99"/>
    <w:qFormat/>
    <w:rsid w:val="00EF22C9"/>
    <w:pPr>
      <w:keepNext/>
      <w:spacing w:before="360"/>
      <w:jc w:val="both"/>
      <w:outlineLvl w:val="1"/>
    </w:pPr>
    <w:rPr>
      <w:rFonts w:ascii="Cambria" w:hAnsi="Cambria"/>
      <w:b/>
      <w:i/>
      <w:sz w:val="28"/>
    </w:rPr>
  </w:style>
  <w:style w:type="paragraph" w:styleId="Heading3">
    <w:name w:val="heading 3"/>
    <w:basedOn w:val="Normal"/>
    <w:next w:val="Normal"/>
    <w:link w:val="Heading3Char"/>
    <w:uiPriority w:val="99"/>
    <w:qFormat/>
    <w:rsid w:val="00EF22C9"/>
    <w:pPr>
      <w:keepNext/>
      <w:tabs>
        <w:tab w:val="left" w:pos="360"/>
      </w:tabs>
      <w:spacing w:before="120"/>
      <w:ind w:left="360" w:hanging="360"/>
      <w:jc w:val="both"/>
      <w:outlineLvl w:val="2"/>
    </w:pPr>
    <w:rPr>
      <w:rFonts w:ascii="Cambria" w:hAnsi="Cambria"/>
      <w:b/>
      <w:sz w:val="26"/>
    </w:rPr>
  </w:style>
  <w:style w:type="paragraph" w:styleId="Heading4">
    <w:name w:val="heading 4"/>
    <w:basedOn w:val="Normal"/>
    <w:next w:val="Normal"/>
    <w:link w:val="Heading4Char"/>
    <w:uiPriority w:val="99"/>
    <w:qFormat/>
    <w:rsid w:val="00EF22C9"/>
    <w:pPr>
      <w:keepNext/>
      <w:outlineLvl w:val="3"/>
    </w:pPr>
    <w:rPr>
      <w:rFonts w:ascii="Calibri" w:hAnsi="Calibri"/>
      <w:b/>
      <w:sz w:val="28"/>
    </w:rPr>
  </w:style>
  <w:style w:type="paragraph" w:styleId="Heading5">
    <w:name w:val="heading 5"/>
    <w:basedOn w:val="Normal"/>
    <w:next w:val="Normal"/>
    <w:link w:val="Heading5Char"/>
    <w:uiPriority w:val="99"/>
    <w:qFormat/>
    <w:rsid w:val="00EF22C9"/>
    <w:pPr>
      <w:keepNext/>
      <w:spacing w:before="120"/>
      <w:jc w:val="both"/>
      <w:outlineLvl w:val="4"/>
    </w:pPr>
    <w:rPr>
      <w:rFonts w:ascii="Calibri" w:hAnsi="Calibri"/>
      <w:b/>
      <w:i/>
      <w:sz w:val="26"/>
    </w:rPr>
  </w:style>
  <w:style w:type="paragraph" w:styleId="Heading6">
    <w:name w:val="heading 6"/>
    <w:basedOn w:val="Normal"/>
    <w:next w:val="Normal"/>
    <w:link w:val="Heading6Char"/>
    <w:uiPriority w:val="99"/>
    <w:qFormat/>
    <w:rsid w:val="00EF22C9"/>
    <w:pPr>
      <w:keepNext/>
      <w:ind w:firstLine="720"/>
      <w:jc w:val="both"/>
      <w:outlineLvl w:val="5"/>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F22C9"/>
    <w:rPr>
      <w:rFonts w:ascii="Cambria" w:hAnsi="Cambria"/>
      <w:b/>
      <w:kern w:val="32"/>
      <w:sz w:val="32"/>
    </w:rPr>
  </w:style>
  <w:style w:type="character" w:customStyle="1" w:styleId="Heading2Char">
    <w:name w:val="Heading 2 Char"/>
    <w:basedOn w:val="DefaultParagraphFont"/>
    <w:link w:val="Heading2"/>
    <w:uiPriority w:val="99"/>
    <w:semiHidden/>
    <w:locked/>
    <w:rsid w:val="00EF22C9"/>
    <w:rPr>
      <w:rFonts w:ascii="Cambria" w:hAnsi="Cambria"/>
      <w:b/>
      <w:i/>
      <w:sz w:val="28"/>
    </w:rPr>
  </w:style>
  <w:style w:type="character" w:customStyle="1" w:styleId="Heading3Char">
    <w:name w:val="Heading 3 Char"/>
    <w:basedOn w:val="DefaultParagraphFont"/>
    <w:link w:val="Heading3"/>
    <w:uiPriority w:val="99"/>
    <w:semiHidden/>
    <w:locked/>
    <w:rsid w:val="00EF22C9"/>
    <w:rPr>
      <w:rFonts w:ascii="Cambria" w:hAnsi="Cambria"/>
      <w:b/>
      <w:sz w:val="26"/>
    </w:rPr>
  </w:style>
  <w:style w:type="character" w:customStyle="1" w:styleId="Heading4Char">
    <w:name w:val="Heading 4 Char"/>
    <w:basedOn w:val="DefaultParagraphFont"/>
    <w:link w:val="Heading4"/>
    <w:uiPriority w:val="99"/>
    <w:semiHidden/>
    <w:locked/>
    <w:rsid w:val="00EF22C9"/>
    <w:rPr>
      <w:rFonts w:ascii="Calibri" w:hAnsi="Calibri"/>
      <w:b/>
      <w:sz w:val="28"/>
    </w:rPr>
  </w:style>
  <w:style w:type="character" w:customStyle="1" w:styleId="Heading5Char">
    <w:name w:val="Heading 5 Char"/>
    <w:basedOn w:val="DefaultParagraphFont"/>
    <w:link w:val="Heading5"/>
    <w:uiPriority w:val="99"/>
    <w:semiHidden/>
    <w:locked/>
    <w:rsid w:val="00EF22C9"/>
    <w:rPr>
      <w:rFonts w:ascii="Calibri" w:hAnsi="Calibri"/>
      <w:b/>
      <w:i/>
      <w:sz w:val="26"/>
    </w:rPr>
  </w:style>
  <w:style w:type="character" w:customStyle="1" w:styleId="Heading6Char">
    <w:name w:val="Heading 6 Char"/>
    <w:basedOn w:val="DefaultParagraphFont"/>
    <w:link w:val="Heading6"/>
    <w:uiPriority w:val="99"/>
    <w:semiHidden/>
    <w:locked/>
    <w:rsid w:val="00EF22C9"/>
    <w:rPr>
      <w:rFonts w:ascii="Calibri" w:hAnsi="Calibri"/>
      <w:b/>
    </w:rPr>
  </w:style>
  <w:style w:type="paragraph" w:styleId="Header">
    <w:name w:val="header"/>
    <w:basedOn w:val="Normal"/>
    <w:link w:val="HeaderChar"/>
    <w:uiPriority w:val="99"/>
    <w:rsid w:val="00EF22C9"/>
    <w:pPr>
      <w:tabs>
        <w:tab w:val="center" w:pos="4320"/>
        <w:tab w:val="right" w:pos="8640"/>
      </w:tabs>
    </w:pPr>
  </w:style>
  <w:style w:type="character" w:customStyle="1" w:styleId="HeaderChar">
    <w:name w:val="Header Char"/>
    <w:basedOn w:val="DefaultParagraphFont"/>
    <w:link w:val="Header"/>
    <w:uiPriority w:val="99"/>
    <w:semiHidden/>
    <w:locked/>
    <w:rsid w:val="00EF22C9"/>
    <w:rPr>
      <w:sz w:val="20"/>
    </w:rPr>
  </w:style>
  <w:style w:type="paragraph" w:styleId="Footer">
    <w:name w:val="footer"/>
    <w:basedOn w:val="Normal"/>
    <w:link w:val="FooterChar"/>
    <w:uiPriority w:val="99"/>
    <w:rsid w:val="00EF22C9"/>
    <w:pPr>
      <w:tabs>
        <w:tab w:val="center" w:pos="4320"/>
        <w:tab w:val="right" w:pos="8640"/>
      </w:tabs>
    </w:pPr>
  </w:style>
  <w:style w:type="character" w:customStyle="1" w:styleId="FooterChar">
    <w:name w:val="Footer Char"/>
    <w:basedOn w:val="DefaultParagraphFont"/>
    <w:link w:val="Footer"/>
    <w:uiPriority w:val="99"/>
    <w:semiHidden/>
    <w:locked/>
    <w:rsid w:val="00EF22C9"/>
    <w:rPr>
      <w:sz w:val="20"/>
    </w:rPr>
  </w:style>
  <w:style w:type="paragraph" w:customStyle="1" w:styleId="Print-FromToSubjectDate">
    <w:name w:val="Print- From: To: Subject: Date:"/>
    <w:basedOn w:val="Normal"/>
    <w:uiPriority w:val="99"/>
    <w:rsid w:val="00EF22C9"/>
    <w:pPr>
      <w:pBdr>
        <w:left w:val="single" w:sz="18" w:space="1" w:color="auto"/>
      </w:pBdr>
    </w:pPr>
    <w:rPr>
      <w:rFonts w:ascii="Arial" w:hAnsi="Arial"/>
    </w:rPr>
  </w:style>
  <w:style w:type="paragraph" w:customStyle="1" w:styleId="DefaultText">
    <w:name w:val="Default Text"/>
    <w:uiPriority w:val="99"/>
    <w:rsid w:val="00EF22C9"/>
    <w:rPr>
      <w:color w:val="000000"/>
      <w:sz w:val="24"/>
      <w:szCs w:val="20"/>
    </w:rPr>
  </w:style>
  <w:style w:type="paragraph" w:styleId="BodyText">
    <w:name w:val="Body Text"/>
    <w:basedOn w:val="Normal"/>
    <w:link w:val="BodyTextChar"/>
    <w:uiPriority w:val="99"/>
    <w:rsid w:val="00EF22C9"/>
  </w:style>
  <w:style w:type="character" w:customStyle="1" w:styleId="BodyTextChar">
    <w:name w:val="Body Text Char"/>
    <w:basedOn w:val="DefaultParagraphFont"/>
    <w:link w:val="BodyText"/>
    <w:uiPriority w:val="99"/>
    <w:semiHidden/>
    <w:locked/>
    <w:rsid w:val="00EF22C9"/>
    <w:rPr>
      <w:sz w:val="20"/>
    </w:rPr>
  </w:style>
  <w:style w:type="paragraph" w:styleId="Date">
    <w:name w:val="Date"/>
    <w:basedOn w:val="Normal"/>
    <w:next w:val="Normal"/>
    <w:link w:val="DateChar"/>
    <w:uiPriority w:val="99"/>
    <w:rsid w:val="00EF22C9"/>
  </w:style>
  <w:style w:type="character" w:customStyle="1" w:styleId="DateChar">
    <w:name w:val="Date Char"/>
    <w:basedOn w:val="DefaultParagraphFont"/>
    <w:link w:val="Date"/>
    <w:uiPriority w:val="99"/>
    <w:semiHidden/>
    <w:locked/>
    <w:rsid w:val="00EF22C9"/>
    <w:rPr>
      <w:sz w:val="20"/>
    </w:rPr>
  </w:style>
  <w:style w:type="paragraph" w:customStyle="1" w:styleId="InsideAddressName">
    <w:name w:val="Inside Address Name"/>
    <w:basedOn w:val="Normal"/>
    <w:uiPriority w:val="99"/>
    <w:rsid w:val="00EF22C9"/>
  </w:style>
  <w:style w:type="paragraph" w:customStyle="1" w:styleId="InsideAddress">
    <w:name w:val="Inside Address"/>
    <w:basedOn w:val="Normal"/>
    <w:uiPriority w:val="99"/>
    <w:rsid w:val="00EF22C9"/>
  </w:style>
  <w:style w:type="paragraph" w:styleId="Salutation">
    <w:name w:val="Salutation"/>
    <w:basedOn w:val="Normal"/>
    <w:next w:val="Normal"/>
    <w:link w:val="SalutationChar"/>
    <w:uiPriority w:val="99"/>
    <w:rsid w:val="00EF22C9"/>
  </w:style>
  <w:style w:type="character" w:customStyle="1" w:styleId="SalutationChar">
    <w:name w:val="Salutation Char"/>
    <w:basedOn w:val="DefaultParagraphFont"/>
    <w:link w:val="Salutation"/>
    <w:uiPriority w:val="99"/>
    <w:semiHidden/>
    <w:locked/>
    <w:rsid w:val="00EF22C9"/>
    <w:rPr>
      <w:sz w:val="20"/>
    </w:rPr>
  </w:style>
  <w:style w:type="paragraph" w:styleId="Closing">
    <w:name w:val="Closing"/>
    <w:basedOn w:val="Normal"/>
    <w:link w:val="ClosingChar"/>
    <w:uiPriority w:val="99"/>
    <w:rsid w:val="00EF22C9"/>
  </w:style>
  <w:style w:type="character" w:customStyle="1" w:styleId="ClosingChar">
    <w:name w:val="Closing Char"/>
    <w:basedOn w:val="DefaultParagraphFont"/>
    <w:link w:val="Closing"/>
    <w:uiPriority w:val="99"/>
    <w:semiHidden/>
    <w:locked/>
    <w:rsid w:val="00EF22C9"/>
    <w:rPr>
      <w:sz w:val="20"/>
    </w:rPr>
  </w:style>
  <w:style w:type="paragraph" w:styleId="Signature">
    <w:name w:val="Signature"/>
    <w:basedOn w:val="Normal"/>
    <w:link w:val="SignatureChar"/>
    <w:uiPriority w:val="99"/>
    <w:rsid w:val="00EF22C9"/>
  </w:style>
  <w:style w:type="character" w:customStyle="1" w:styleId="SignatureChar">
    <w:name w:val="Signature Char"/>
    <w:basedOn w:val="DefaultParagraphFont"/>
    <w:link w:val="Signature"/>
    <w:uiPriority w:val="99"/>
    <w:semiHidden/>
    <w:locked/>
    <w:rsid w:val="00EF22C9"/>
    <w:rPr>
      <w:sz w:val="20"/>
    </w:rPr>
  </w:style>
  <w:style w:type="character" w:styleId="Hyperlink">
    <w:name w:val="Hyperlink"/>
    <w:basedOn w:val="DefaultParagraphFont"/>
    <w:uiPriority w:val="99"/>
    <w:rsid w:val="00EF22C9"/>
    <w:rPr>
      <w:rFonts w:cs="Times New Roman"/>
      <w:color w:val="0000FF"/>
      <w:u w:val="single"/>
    </w:rPr>
  </w:style>
  <w:style w:type="paragraph" w:customStyle="1" w:styleId="TableText">
    <w:name w:val="Table Text"/>
    <w:uiPriority w:val="99"/>
    <w:rsid w:val="00EF22C9"/>
    <w:rPr>
      <w:rFonts w:ascii="Arial Narrow" w:hAnsi="Arial Narrow"/>
      <w:color w:val="000000"/>
      <w:sz w:val="24"/>
      <w:szCs w:val="20"/>
    </w:rPr>
  </w:style>
  <w:style w:type="paragraph" w:styleId="BodyTextIndent">
    <w:name w:val="Body Text Indent"/>
    <w:basedOn w:val="Normal"/>
    <w:link w:val="BodyTextIndentChar"/>
    <w:uiPriority w:val="99"/>
    <w:rsid w:val="00EF22C9"/>
    <w:pPr>
      <w:spacing w:before="120"/>
      <w:ind w:firstLine="720"/>
      <w:jc w:val="both"/>
    </w:pPr>
  </w:style>
  <w:style w:type="character" w:customStyle="1" w:styleId="BodyTextIndentChar">
    <w:name w:val="Body Text Indent Char"/>
    <w:basedOn w:val="DefaultParagraphFont"/>
    <w:link w:val="BodyTextIndent"/>
    <w:uiPriority w:val="99"/>
    <w:semiHidden/>
    <w:locked/>
    <w:rsid w:val="00EF22C9"/>
    <w:rPr>
      <w:sz w:val="20"/>
    </w:rPr>
  </w:style>
  <w:style w:type="character" w:styleId="FollowedHyperlink">
    <w:name w:val="FollowedHyperlink"/>
    <w:basedOn w:val="DefaultParagraphFont"/>
    <w:uiPriority w:val="99"/>
    <w:rsid w:val="00EF22C9"/>
    <w:rPr>
      <w:rFonts w:cs="Times New Roman"/>
      <w:color w:val="800080"/>
      <w:u w:val="single"/>
    </w:rPr>
  </w:style>
  <w:style w:type="table" w:styleId="TableGrid">
    <w:name w:val="Table Grid"/>
    <w:basedOn w:val="TableNormal"/>
    <w:uiPriority w:val="99"/>
    <w:rsid w:val="00EF22C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EF22C9"/>
    <w:rPr>
      <w:rFonts w:cs="Times New Roman"/>
    </w:rPr>
  </w:style>
  <w:style w:type="paragraph" w:styleId="TOC2">
    <w:name w:val="toc 2"/>
    <w:basedOn w:val="Normal"/>
    <w:next w:val="Normal"/>
    <w:autoRedefine/>
    <w:uiPriority w:val="99"/>
    <w:semiHidden/>
    <w:rsid w:val="00EF22C9"/>
    <w:pPr>
      <w:ind w:left="200"/>
    </w:pPr>
  </w:style>
  <w:style w:type="paragraph" w:styleId="TOC1">
    <w:name w:val="toc 1"/>
    <w:basedOn w:val="Normal"/>
    <w:next w:val="Normal"/>
    <w:autoRedefine/>
    <w:uiPriority w:val="99"/>
    <w:semiHidden/>
    <w:rsid w:val="00EF22C9"/>
  </w:style>
  <w:style w:type="paragraph" w:styleId="TOC3">
    <w:name w:val="toc 3"/>
    <w:basedOn w:val="Normal"/>
    <w:next w:val="Normal"/>
    <w:autoRedefine/>
    <w:uiPriority w:val="99"/>
    <w:semiHidden/>
    <w:rsid w:val="00EF22C9"/>
    <w:pPr>
      <w:ind w:left="400"/>
    </w:pPr>
  </w:style>
  <w:style w:type="paragraph" w:customStyle="1" w:styleId="BulletStatusReport">
    <w:name w:val="Bullet Status Report"/>
    <w:basedOn w:val="Normal"/>
    <w:uiPriority w:val="99"/>
    <w:rsid w:val="00EF22C9"/>
    <w:pPr>
      <w:numPr>
        <w:numId w:val="1"/>
      </w:numPr>
      <w:tabs>
        <w:tab w:val="left" w:pos="360"/>
        <w:tab w:val="num" w:pos="1080"/>
      </w:tabs>
      <w:spacing w:before="120"/>
      <w:ind w:left="360"/>
      <w:jc w:val="both"/>
    </w:pPr>
    <w:rPr>
      <w:b/>
    </w:rPr>
  </w:style>
  <w:style w:type="character" w:styleId="Strong">
    <w:name w:val="Strong"/>
    <w:basedOn w:val="DefaultParagraphFont"/>
    <w:uiPriority w:val="99"/>
    <w:qFormat/>
    <w:rsid w:val="00EF22C9"/>
    <w:rPr>
      <w:rFonts w:cs="Times New Roman"/>
      <w:b/>
    </w:rPr>
  </w:style>
  <w:style w:type="character" w:styleId="Emphasis">
    <w:name w:val="Emphasis"/>
    <w:basedOn w:val="DefaultParagraphFont"/>
    <w:uiPriority w:val="99"/>
    <w:qFormat/>
    <w:rsid w:val="00EF22C9"/>
    <w:rPr>
      <w:rFonts w:cs="Times New Roman"/>
      <w:i/>
    </w:rPr>
  </w:style>
  <w:style w:type="paragraph" w:styleId="FootnoteText">
    <w:name w:val="footnote text"/>
    <w:basedOn w:val="Normal"/>
    <w:link w:val="FootnoteTextChar"/>
    <w:uiPriority w:val="99"/>
    <w:semiHidden/>
    <w:rsid w:val="00EF22C9"/>
    <w:pPr>
      <w:widowControl w:val="0"/>
      <w:spacing w:before="100"/>
      <w:jc w:val="both"/>
    </w:pPr>
    <w:rPr>
      <w:rFonts w:ascii="Arial" w:hAnsi="Arial"/>
    </w:rPr>
  </w:style>
  <w:style w:type="character" w:customStyle="1" w:styleId="FootnoteTextChar">
    <w:name w:val="Footnote Text Char"/>
    <w:basedOn w:val="DefaultParagraphFont"/>
    <w:link w:val="FootnoteText"/>
    <w:uiPriority w:val="99"/>
    <w:semiHidden/>
    <w:locked/>
    <w:rsid w:val="00EF22C9"/>
    <w:rPr>
      <w:rFonts w:ascii="Arial" w:hAnsi="Arial"/>
      <w:snapToGrid w:val="0"/>
      <w:lang w:val="en-US" w:eastAsia="en-US"/>
    </w:rPr>
  </w:style>
  <w:style w:type="character" w:styleId="FootnoteReference">
    <w:name w:val="footnote reference"/>
    <w:basedOn w:val="DefaultParagraphFont"/>
    <w:uiPriority w:val="99"/>
    <w:semiHidden/>
    <w:rsid w:val="00EF22C9"/>
    <w:rPr>
      <w:rFonts w:cs="Times New Roman"/>
      <w:vertAlign w:val="superscript"/>
    </w:rPr>
  </w:style>
  <w:style w:type="character" w:styleId="EndnoteReference">
    <w:name w:val="endnote reference"/>
    <w:basedOn w:val="DefaultParagraphFont"/>
    <w:uiPriority w:val="99"/>
    <w:semiHidden/>
    <w:rsid w:val="00EF22C9"/>
    <w:rPr>
      <w:rFonts w:cs="Times New Roman"/>
      <w:vertAlign w:val="superscript"/>
    </w:rPr>
  </w:style>
  <w:style w:type="paragraph" w:styleId="EndnoteText">
    <w:name w:val="endnote text"/>
    <w:basedOn w:val="Normal"/>
    <w:link w:val="EndnoteTextChar"/>
    <w:uiPriority w:val="99"/>
    <w:semiHidden/>
    <w:rsid w:val="00EF22C9"/>
    <w:pPr>
      <w:widowControl w:val="0"/>
      <w:spacing w:before="100"/>
      <w:jc w:val="both"/>
    </w:pPr>
  </w:style>
  <w:style w:type="character" w:customStyle="1" w:styleId="EndnoteTextChar">
    <w:name w:val="Endnote Text Char"/>
    <w:basedOn w:val="DefaultParagraphFont"/>
    <w:link w:val="EndnoteText"/>
    <w:uiPriority w:val="99"/>
    <w:semiHidden/>
    <w:locked/>
    <w:rsid w:val="00EF22C9"/>
    <w:rPr>
      <w:sz w:val="20"/>
    </w:rPr>
  </w:style>
  <w:style w:type="paragraph" w:styleId="BodyTextIndent3">
    <w:name w:val="Body Text Indent 3"/>
    <w:basedOn w:val="Normal"/>
    <w:link w:val="BodyTextIndent3Char"/>
    <w:uiPriority w:val="99"/>
    <w:rsid w:val="00EF22C9"/>
    <w:pPr>
      <w:spacing w:after="120"/>
      <w:ind w:left="360"/>
    </w:pPr>
    <w:rPr>
      <w:sz w:val="16"/>
    </w:rPr>
  </w:style>
  <w:style w:type="character" w:customStyle="1" w:styleId="BodyTextIndent3Char">
    <w:name w:val="Body Text Indent 3 Char"/>
    <w:basedOn w:val="DefaultParagraphFont"/>
    <w:link w:val="BodyTextIndent3"/>
    <w:uiPriority w:val="99"/>
    <w:semiHidden/>
    <w:locked/>
    <w:rsid w:val="00EF22C9"/>
    <w:rPr>
      <w:sz w:val="16"/>
    </w:rPr>
  </w:style>
  <w:style w:type="paragraph" w:styleId="BalloonText">
    <w:name w:val="Balloon Text"/>
    <w:basedOn w:val="Normal"/>
    <w:link w:val="BalloonTextChar"/>
    <w:uiPriority w:val="99"/>
    <w:semiHidden/>
    <w:rsid w:val="00EF22C9"/>
    <w:rPr>
      <w:rFonts w:ascii="Tahoma" w:hAnsi="Tahoma"/>
      <w:sz w:val="16"/>
    </w:rPr>
  </w:style>
  <w:style w:type="character" w:customStyle="1" w:styleId="BalloonTextChar">
    <w:name w:val="Balloon Text Char"/>
    <w:basedOn w:val="DefaultParagraphFont"/>
    <w:link w:val="BalloonText"/>
    <w:uiPriority w:val="99"/>
    <w:semiHidden/>
    <w:locked/>
    <w:rsid w:val="00EF22C9"/>
    <w:rPr>
      <w:rFonts w:ascii="Tahoma" w:hAnsi="Tahoma"/>
      <w:sz w:val="16"/>
    </w:rPr>
  </w:style>
  <w:style w:type="character" w:styleId="CommentReference">
    <w:name w:val="annotation reference"/>
    <w:basedOn w:val="DefaultParagraphFont"/>
    <w:uiPriority w:val="99"/>
    <w:semiHidden/>
    <w:rsid w:val="00EF22C9"/>
    <w:rPr>
      <w:rFonts w:cs="Times New Roman"/>
      <w:sz w:val="16"/>
    </w:rPr>
  </w:style>
  <w:style w:type="paragraph" w:styleId="CommentText">
    <w:name w:val="annotation text"/>
    <w:basedOn w:val="Normal"/>
    <w:link w:val="CommentTextChar"/>
    <w:uiPriority w:val="99"/>
    <w:semiHidden/>
    <w:rsid w:val="00EF22C9"/>
  </w:style>
  <w:style w:type="character" w:customStyle="1" w:styleId="CommentTextChar">
    <w:name w:val="Comment Text Char"/>
    <w:basedOn w:val="DefaultParagraphFont"/>
    <w:link w:val="CommentText"/>
    <w:uiPriority w:val="99"/>
    <w:semiHidden/>
    <w:locked/>
    <w:rsid w:val="00EF22C9"/>
    <w:rPr>
      <w:sz w:val="20"/>
    </w:rPr>
  </w:style>
  <w:style w:type="paragraph" w:styleId="CommentSubject">
    <w:name w:val="annotation subject"/>
    <w:basedOn w:val="CommentText"/>
    <w:next w:val="CommentText"/>
    <w:link w:val="CommentSubjectChar"/>
    <w:uiPriority w:val="99"/>
    <w:semiHidden/>
    <w:rsid w:val="00EF22C9"/>
    <w:rPr>
      <w:b/>
    </w:rPr>
  </w:style>
  <w:style w:type="character" w:customStyle="1" w:styleId="CommentSubjectChar">
    <w:name w:val="Comment Subject Char"/>
    <w:basedOn w:val="CommentTextChar"/>
    <w:link w:val="CommentSubject"/>
    <w:uiPriority w:val="99"/>
    <w:semiHidden/>
    <w:locked/>
    <w:rsid w:val="00EF22C9"/>
    <w:rPr>
      <w:b/>
      <w:sz w:val="20"/>
    </w:rPr>
  </w:style>
  <w:style w:type="paragraph" w:customStyle="1" w:styleId="FERCparanumber">
    <w:name w:val="FERC paranumber"/>
    <w:basedOn w:val="Normal"/>
    <w:link w:val="FERCparanumberChar"/>
    <w:uiPriority w:val="99"/>
    <w:rsid w:val="00EF22C9"/>
    <w:pPr>
      <w:numPr>
        <w:numId w:val="32"/>
      </w:numPr>
      <w:autoSpaceDE w:val="0"/>
      <w:autoSpaceDN w:val="0"/>
      <w:adjustRightInd w:val="0"/>
      <w:spacing w:line="480" w:lineRule="auto"/>
    </w:pPr>
    <w:rPr>
      <w:sz w:val="26"/>
    </w:rPr>
  </w:style>
  <w:style w:type="character" w:customStyle="1" w:styleId="FERCparanumberChar">
    <w:name w:val="FERC paranumber Char"/>
    <w:link w:val="FERCparanumber"/>
    <w:uiPriority w:val="99"/>
    <w:locked/>
    <w:rsid w:val="00EF22C9"/>
    <w:rPr>
      <w:sz w:val="26"/>
      <w:lang w:val="en-US" w:eastAsia="en-US"/>
    </w:rPr>
  </w:style>
  <w:style w:type="paragraph" w:styleId="NormalWeb">
    <w:name w:val="Normal (Web)"/>
    <w:basedOn w:val="Normal"/>
    <w:uiPriority w:val="99"/>
    <w:semiHidden/>
    <w:unhideWhenUsed/>
    <w:rsid w:val="00BA4B71"/>
    <w:pPr>
      <w:spacing w:before="100" w:beforeAutospacing="1" w:after="100" w:afterAutospacing="1"/>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022816">
      <w:marLeft w:val="0"/>
      <w:marRight w:val="0"/>
      <w:marTop w:val="0"/>
      <w:marBottom w:val="0"/>
      <w:divBdr>
        <w:top w:val="none" w:sz="0" w:space="0" w:color="auto"/>
        <w:left w:val="none" w:sz="0" w:space="0" w:color="auto"/>
        <w:bottom w:val="none" w:sz="0" w:space="0" w:color="auto"/>
        <w:right w:val="none" w:sz="0" w:space="0" w:color="auto"/>
      </w:divBdr>
    </w:div>
    <w:div w:id="1529022817">
      <w:marLeft w:val="0"/>
      <w:marRight w:val="0"/>
      <w:marTop w:val="0"/>
      <w:marBottom w:val="0"/>
      <w:divBdr>
        <w:top w:val="none" w:sz="0" w:space="0" w:color="auto"/>
        <w:left w:val="none" w:sz="0" w:space="0" w:color="auto"/>
        <w:bottom w:val="none" w:sz="0" w:space="0" w:color="auto"/>
        <w:right w:val="none" w:sz="0" w:space="0" w:color="auto"/>
      </w:divBdr>
    </w:div>
    <w:div w:id="1529022822">
      <w:marLeft w:val="0"/>
      <w:marRight w:val="0"/>
      <w:marTop w:val="0"/>
      <w:marBottom w:val="0"/>
      <w:divBdr>
        <w:top w:val="none" w:sz="0" w:space="0" w:color="auto"/>
        <w:left w:val="none" w:sz="0" w:space="0" w:color="auto"/>
        <w:bottom w:val="none" w:sz="0" w:space="0" w:color="auto"/>
        <w:right w:val="none" w:sz="0" w:space="0" w:color="auto"/>
      </w:divBdr>
    </w:div>
    <w:div w:id="1529022823">
      <w:marLeft w:val="0"/>
      <w:marRight w:val="0"/>
      <w:marTop w:val="0"/>
      <w:marBottom w:val="0"/>
      <w:divBdr>
        <w:top w:val="none" w:sz="0" w:space="0" w:color="auto"/>
        <w:left w:val="none" w:sz="0" w:space="0" w:color="auto"/>
        <w:bottom w:val="none" w:sz="0" w:space="0" w:color="auto"/>
        <w:right w:val="none" w:sz="0" w:space="0" w:color="auto"/>
      </w:divBdr>
      <w:divsChild>
        <w:div w:id="1529022819">
          <w:marLeft w:val="0"/>
          <w:marRight w:val="0"/>
          <w:marTop w:val="0"/>
          <w:marBottom w:val="0"/>
          <w:divBdr>
            <w:top w:val="none" w:sz="0" w:space="0" w:color="auto"/>
            <w:left w:val="none" w:sz="0" w:space="0" w:color="auto"/>
            <w:bottom w:val="none" w:sz="0" w:space="0" w:color="auto"/>
            <w:right w:val="none" w:sz="0" w:space="0" w:color="auto"/>
          </w:divBdr>
        </w:div>
        <w:div w:id="1529022833">
          <w:marLeft w:val="0"/>
          <w:marRight w:val="0"/>
          <w:marTop w:val="0"/>
          <w:marBottom w:val="0"/>
          <w:divBdr>
            <w:top w:val="none" w:sz="0" w:space="0" w:color="auto"/>
            <w:left w:val="none" w:sz="0" w:space="0" w:color="auto"/>
            <w:bottom w:val="none" w:sz="0" w:space="0" w:color="auto"/>
            <w:right w:val="none" w:sz="0" w:space="0" w:color="auto"/>
          </w:divBdr>
        </w:div>
        <w:div w:id="1529022835">
          <w:marLeft w:val="0"/>
          <w:marRight w:val="0"/>
          <w:marTop w:val="0"/>
          <w:marBottom w:val="0"/>
          <w:divBdr>
            <w:top w:val="none" w:sz="0" w:space="0" w:color="auto"/>
            <w:left w:val="none" w:sz="0" w:space="0" w:color="auto"/>
            <w:bottom w:val="none" w:sz="0" w:space="0" w:color="auto"/>
            <w:right w:val="none" w:sz="0" w:space="0" w:color="auto"/>
          </w:divBdr>
        </w:div>
        <w:div w:id="1529022837">
          <w:marLeft w:val="0"/>
          <w:marRight w:val="0"/>
          <w:marTop w:val="0"/>
          <w:marBottom w:val="0"/>
          <w:divBdr>
            <w:top w:val="none" w:sz="0" w:space="0" w:color="auto"/>
            <w:left w:val="none" w:sz="0" w:space="0" w:color="auto"/>
            <w:bottom w:val="none" w:sz="0" w:space="0" w:color="auto"/>
            <w:right w:val="none" w:sz="0" w:space="0" w:color="auto"/>
          </w:divBdr>
        </w:div>
        <w:div w:id="1529022844">
          <w:marLeft w:val="0"/>
          <w:marRight w:val="0"/>
          <w:marTop w:val="0"/>
          <w:marBottom w:val="0"/>
          <w:divBdr>
            <w:top w:val="none" w:sz="0" w:space="0" w:color="auto"/>
            <w:left w:val="none" w:sz="0" w:space="0" w:color="auto"/>
            <w:bottom w:val="none" w:sz="0" w:space="0" w:color="auto"/>
            <w:right w:val="none" w:sz="0" w:space="0" w:color="auto"/>
          </w:divBdr>
        </w:div>
      </w:divsChild>
    </w:div>
    <w:div w:id="1529022826">
      <w:marLeft w:val="0"/>
      <w:marRight w:val="0"/>
      <w:marTop w:val="0"/>
      <w:marBottom w:val="0"/>
      <w:divBdr>
        <w:top w:val="none" w:sz="0" w:space="0" w:color="auto"/>
        <w:left w:val="none" w:sz="0" w:space="0" w:color="auto"/>
        <w:bottom w:val="none" w:sz="0" w:space="0" w:color="auto"/>
        <w:right w:val="none" w:sz="0" w:space="0" w:color="auto"/>
      </w:divBdr>
    </w:div>
    <w:div w:id="1529022827">
      <w:marLeft w:val="0"/>
      <w:marRight w:val="0"/>
      <w:marTop w:val="0"/>
      <w:marBottom w:val="0"/>
      <w:divBdr>
        <w:top w:val="none" w:sz="0" w:space="0" w:color="auto"/>
        <w:left w:val="none" w:sz="0" w:space="0" w:color="auto"/>
        <w:bottom w:val="none" w:sz="0" w:space="0" w:color="auto"/>
        <w:right w:val="none" w:sz="0" w:space="0" w:color="auto"/>
      </w:divBdr>
    </w:div>
    <w:div w:id="1529022830">
      <w:marLeft w:val="0"/>
      <w:marRight w:val="0"/>
      <w:marTop w:val="0"/>
      <w:marBottom w:val="0"/>
      <w:divBdr>
        <w:top w:val="none" w:sz="0" w:space="0" w:color="auto"/>
        <w:left w:val="none" w:sz="0" w:space="0" w:color="auto"/>
        <w:bottom w:val="none" w:sz="0" w:space="0" w:color="auto"/>
        <w:right w:val="none" w:sz="0" w:space="0" w:color="auto"/>
      </w:divBdr>
      <w:divsChild>
        <w:div w:id="1529022818">
          <w:marLeft w:val="0"/>
          <w:marRight w:val="0"/>
          <w:marTop w:val="0"/>
          <w:marBottom w:val="0"/>
          <w:divBdr>
            <w:top w:val="none" w:sz="0" w:space="0" w:color="auto"/>
            <w:left w:val="none" w:sz="0" w:space="0" w:color="auto"/>
            <w:bottom w:val="none" w:sz="0" w:space="0" w:color="auto"/>
            <w:right w:val="none" w:sz="0" w:space="0" w:color="auto"/>
          </w:divBdr>
        </w:div>
        <w:div w:id="1529022834">
          <w:marLeft w:val="0"/>
          <w:marRight w:val="0"/>
          <w:marTop w:val="0"/>
          <w:marBottom w:val="0"/>
          <w:divBdr>
            <w:top w:val="none" w:sz="0" w:space="0" w:color="auto"/>
            <w:left w:val="none" w:sz="0" w:space="0" w:color="auto"/>
            <w:bottom w:val="none" w:sz="0" w:space="0" w:color="auto"/>
            <w:right w:val="none" w:sz="0" w:space="0" w:color="auto"/>
          </w:divBdr>
        </w:div>
        <w:div w:id="1529022839">
          <w:marLeft w:val="0"/>
          <w:marRight w:val="0"/>
          <w:marTop w:val="0"/>
          <w:marBottom w:val="0"/>
          <w:divBdr>
            <w:top w:val="none" w:sz="0" w:space="0" w:color="auto"/>
            <w:left w:val="none" w:sz="0" w:space="0" w:color="auto"/>
            <w:bottom w:val="none" w:sz="0" w:space="0" w:color="auto"/>
            <w:right w:val="none" w:sz="0" w:space="0" w:color="auto"/>
          </w:divBdr>
        </w:div>
      </w:divsChild>
    </w:div>
    <w:div w:id="1529022831">
      <w:marLeft w:val="0"/>
      <w:marRight w:val="0"/>
      <w:marTop w:val="0"/>
      <w:marBottom w:val="0"/>
      <w:divBdr>
        <w:top w:val="none" w:sz="0" w:space="0" w:color="auto"/>
        <w:left w:val="none" w:sz="0" w:space="0" w:color="auto"/>
        <w:bottom w:val="none" w:sz="0" w:space="0" w:color="auto"/>
        <w:right w:val="none" w:sz="0" w:space="0" w:color="auto"/>
      </w:divBdr>
    </w:div>
    <w:div w:id="1529022838">
      <w:marLeft w:val="0"/>
      <w:marRight w:val="0"/>
      <w:marTop w:val="0"/>
      <w:marBottom w:val="0"/>
      <w:divBdr>
        <w:top w:val="none" w:sz="0" w:space="0" w:color="auto"/>
        <w:left w:val="none" w:sz="0" w:space="0" w:color="auto"/>
        <w:bottom w:val="none" w:sz="0" w:space="0" w:color="auto"/>
        <w:right w:val="none" w:sz="0" w:space="0" w:color="auto"/>
      </w:divBdr>
      <w:divsChild>
        <w:div w:id="1529022850">
          <w:marLeft w:val="0"/>
          <w:marRight w:val="0"/>
          <w:marTop w:val="0"/>
          <w:marBottom w:val="0"/>
          <w:divBdr>
            <w:top w:val="none" w:sz="0" w:space="0" w:color="auto"/>
            <w:left w:val="none" w:sz="0" w:space="0" w:color="auto"/>
            <w:bottom w:val="none" w:sz="0" w:space="0" w:color="auto"/>
            <w:right w:val="none" w:sz="0" w:space="0" w:color="auto"/>
          </w:divBdr>
        </w:div>
      </w:divsChild>
    </w:div>
    <w:div w:id="1529022841">
      <w:marLeft w:val="0"/>
      <w:marRight w:val="0"/>
      <w:marTop w:val="0"/>
      <w:marBottom w:val="0"/>
      <w:divBdr>
        <w:top w:val="none" w:sz="0" w:space="0" w:color="auto"/>
        <w:left w:val="none" w:sz="0" w:space="0" w:color="auto"/>
        <w:bottom w:val="none" w:sz="0" w:space="0" w:color="auto"/>
        <w:right w:val="none" w:sz="0" w:space="0" w:color="auto"/>
      </w:divBdr>
      <w:divsChild>
        <w:div w:id="1529022842">
          <w:marLeft w:val="0"/>
          <w:marRight w:val="0"/>
          <w:marTop w:val="0"/>
          <w:marBottom w:val="0"/>
          <w:divBdr>
            <w:top w:val="none" w:sz="0" w:space="0" w:color="auto"/>
            <w:left w:val="none" w:sz="0" w:space="0" w:color="auto"/>
            <w:bottom w:val="none" w:sz="0" w:space="0" w:color="auto"/>
            <w:right w:val="none" w:sz="0" w:space="0" w:color="auto"/>
          </w:divBdr>
          <w:divsChild>
            <w:div w:id="1529022846">
              <w:marLeft w:val="0"/>
              <w:marRight w:val="0"/>
              <w:marTop w:val="0"/>
              <w:marBottom w:val="0"/>
              <w:divBdr>
                <w:top w:val="none" w:sz="0" w:space="0" w:color="auto"/>
                <w:left w:val="none" w:sz="0" w:space="0" w:color="auto"/>
                <w:bottom w:val="none" w:sz="0" w:space="0" w:color="auto"/>
                <w:right w:val="none" w:sz="0" w:space="0" w:color="auto"/>
              </w:divBdr>
              <w:divsChild>
                <w:div w:id="1529022820">
                  <w:marLeft w:val="0"/>
                  <w:marRight w:val="0"/>
                  <w:marTop w:val="0"/>
                  <w:marBottom w:val="0"/>
                  <w:divBdr>
                    <w:top w:val="none" w:sz="0" w:space="0" w:color="auto"/>
                    <w:left w:val="none" w:sz="0" w:space="0" w:color="auto"/>
                    <w:bottom w:val="none" w:sz="0" w:space="0" w:color="auto"/>
                    <w:right w:val="none" w:sz="0" w:space="0" w:color="auto"/>
                  </w:divBdr>
                </w:div>
                <w:div w:id="1529022825">
                  <w:marLeft w:val="0"/>
                  <w:marRight w:val="0"/>
                  <w:marTop w:val="0"/>
                  <w:marBottom w:val="0"/>
                  <w:divBdr>
                    <w:top w:val="none" w:sz="0" w:space="0" w:color="auto"/>
                    <w:left w:val="none" w:sz="0" w:space="0" w:color="auto"/>
                    <w:bottom w:val="none" w:sz="0" w:space="0" w:color="auto"/>
                    <w:right w:val="none" w:sz="0" w:space="0" w:color="auto"/>
                  </w:divBdr>
                </w:div>
                <w:div w:id="1529022848">
                  <w:marLeft w:val="0"/>
                  <w:marRight w:val="0"/>
                  <w:marTop w:val="0"/>
                  <w:marBottom w:val="0"/>
                  <w:divBdr>
                    <w:top w:val="none" w:sz="0" w:space="0" w:color="auto"/>
                    <w:left w:val="none" w:sz="0" w:space="0" w:color="auto"/>
                    <w:bottom w:val="none" w:sz="0" w:space="0" w:color="auto"/>
                    <w:right w:val="none" w:sz="0" w:space="0" w:color="auto"/>
                  </w:divBdr>
                </w:div>
                <w:div w:id="1529022851">
                  <w:marLeft w:val="0"/>
                  <w:marRight w:val="0"/>
                  <w:marTop w:val="0"/>
                  <w:marBottom w:val="0"/>
                  <w:divBdr>
                    <w:top w:val="none" w:sz="0" w:space="0" w:color="auto"/>
                    <w:left w:val="none" w:sz="0" w:space="0" w:color="auto"/>
                    <w:bottom w:val="none" w:sz="0" w:space="0" w:color="auto"/>
                    <w:right w:val="none" w:sz="0" w:space="0" w:color="auto"/>
                  </w:divBdr>
                </w:div>
                <w:div w:id="1529022854">
                  <w:marLeft w:val="0"/>
                  <w:marRight w:val="0"/>
                  <w:marTop w:val="0"/>
                  <w:marBottom w:val="0"/>
                  <w:divBdr>
                    <w:top w:val="none" w:sz="0" w:space="0" w:color="auto"/>
                    <w:left w:val="none" w:sz="0" w:space="0" w:color="auto"/>
                    <w:bottom w:val="none" w:sz="0" w:space="0" w:color="auto"/>
                    <w:right w:val="none" w:sz="0" w:space="0" w:color="auto"/>
                  </w:divBdr>
                </w:div>
                <w:div w:id="152902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022843">
      <w:marLeft w:val="0"/>
      <w:marRight w:val="0"/>
      <w:marTop w:val="0"/>
      <w:marBottom w:val="0"/>
      <w:divBdr>
        <w:top w:val="none" w:sz="0" w:space="0" w:color="auto"/>
        <w:left w:val="none" w:sz="0" w:space="0" w:color="auto"/>
        <w:bottom w:val="none" w:sz="0" w:space="0" w:color="auto"/>
        <w:right w:val="none" w:sz="0" w:space="0" w:color="auto"/>
      </w:divBdr>
      <w:divsChild>
        <w:div w:id="1529022860">
          <w:marLeft w:val="0"/>
          <w:marRight w:val="0"/>
          <w:marTop w:val="0"/>
          <w:marBottom w:val="0"/>
          <w:divBdr>
            <w:top w:val="none" w:sz="0" w:space="0" w:color="auto"/>
            <w:left w:val="none" w:sz="0" w:space="0" w:color="auto"/>
            <w:bottom w:val="none" w:sz="0" w:space="0" w:color="auto"/>
            <w:right w:val="none" w:sz="0" w:space="0" w:color="auto"/>
          </w:divBdr>
        </w:div>
      </w:divsChild>
    </w:div>
    <w:div w:id="1529022845">
      <w:marLeft w:val="0"/>
      <w:marRight w:val="0"/>
      <w:marTop w:val="0"/>
      <w:marBottom w:val="0"/>
      <w:divBdr>
        <w:top w:val="none" w:sz="0" w:space="0" w:color="auto"/>
        <w:left w:val="none" w:sz="0" w:space="0" w:color="auto"/>
        <w:bottom w:val="none" w:sz="0" w:space="0" w:color="auto"/>
        <w:right w:val="none" w:sz="0" w:space="0" w:color="auto"/>
      </w:divBdr>
      <w:divsChild>
        <w:div w:id="1529022829">
          <w:marLeft w:val="0"/>
          <w:marRight w:val="0"/>
          <w:marTop w:val="0"/>
          <w:marBottom w:val="0"/>
          <w:divBdr>
            <w:top w:val="none" w:sz="0" w:space="0" w:color="auto"/>
            <w:left w:val="none" w:sz="0" w:space="0" w:color="auto"/>
            <w:bottom w:val="none" w:sz="0" w:space="0" w:color="auto"/>
            <w:right w:val="none" w:sz="0" w:space="0" w:color="auto"/>
          </w:divBdr>
        </w:div>
      </w:divsChild>
    </w:div>
    <w:div w:id="1529022849">
      <w:marLeft w:val="0"/>
      <w:marRight w:val="0"/>
      <w:marTop w:val="0"/>
      <w:marBottom w:val="0"/>
      <w:divBdr>
        <w:top w:val="none" w:sz="0" w:space="0" w:color="auto"/>
        <w:left w:val="none" w:sz="0" w:space="0" w:color="auto"/>
        <w:bottom w:val="none" w:sz="0" w:space="0" w:color="auto"/>
        <w:right w:val="none" w:sz="0" w:space="0" w:color="auto"/>
      </w:divBdr>
      <w:divsChild>
        <w:div w:id="1529022824">
          <w:marLeft w:val="0"/>
          <w:marRight w:val="0"/>
          <w:marTop w:val="0"/>
          <w:marBottom w:val="0"/>
          <w:divBdr>
            <w:top w:val="none" w:sz="0" w:space="0" w:color="auto"/>
            <w:left w:val="none" w:sz="0" w:space="0" w:color="auto"/>
            <w:bottom w:val="none" w:sz="0" w:space="0" w:color="auto"/>
            <w:right w:val="none" w:sz="0" w:space="0" w:color="auto"/>
          </w:divBdr>
        </w:div>
      </w:divsChild>
    </w:div>
    <w:div w:id="1529022852">
      <w:marLeft w:val="0"/>
      <w:marRight w:val="0"/>
      <w:marTop w:val="0"/>
      <w:marBottom w:val="0"/>
      <w:divBdr>
        <w:top w:val="none" w:sz="0" w:space="0" w:color="auto"/>
        <w:left w:val="none" w:sz="0" w:space="0" w:color="auto"/>
        <w:bottom w:val="none" w:sz="0" w:space="0" w:color="auto"/>
        <w:right w:val="none" w:sz="0" w:space="0" w:color="auto"/>
      </w:divBdr>
      <w:divsChild>
        <w:div w:id="1529022821">
          <w:marLeft w:val="0"/>
          <w:marRight w:val="0"/>
          <w:marTop w:val="0"/>
          <w:marBottom w:val="0"/>
          <w:divBdr>
            <w:top w:val="none" w:sz="0" w:space="0" w:color="auto"/>
            <w:left w:val="none" w:sz="0" w:space="0" w:color="auto"/>
            <w:bottom w:val="none" w:sz="0" w:space="0" w:color="auto"/>
            <w:right w:val="none" w:sz="0" w:space="0" w:color="auto"/>
          </w:divBdr>
        </w:div>
        <w:div w:id="1529022832">
          <w:marLeft w:val="0"/>
          <w:marRight w:val="0"/>
          <w:marTop w:val="0"/>
          <w:marBottom w:val="0"/>
          <w:divBdr>
            <w:top w:val="none" w:sz="0" w:space="0" w:color="auto"/>
            <w:left w:val="none" w:sz="0" w:space="0" w:color="auto"/>
            <w:bottom w:val="none" w:sz="0" w:space="0" w:color="auto"/>
            <w:right w:val="none" w:sz="0" w:space="0" w:color="auto"/>
          </w:divBdr>
        </w:div>
        <w:div w:id="1529022836">
          <w:marLeft w:val="0"/>
          <w:marRight w:val="0"/>
          <w:marTop w:val="0"/>
          <w:marBottom w:val="0"/>
          <w:divBdr>
            <w:top w:val="none" w:sz="0" w:space="0" w:color="auto"/>
            <w:left w:val="none" w:sz="0" w:space="0" w:color="auto"/>
            <w:bottom w:val="none" w:sz="0" w:space="0" w:color="auto"/>
            <w:right w:val="none" w:sz="0" w:space="0" w:color="auto"/>
          </w:divBdr>
        </w:div>
        <w:div w:id="1529022840">
          <w:marLeft w:val="0"/>
          <w:marRight w:val="0"/>
          <w:marTop w:val="0"/>
          <w:marBottom w:val="0"/>
          <w:divBdr>
            <w:top w:val="none" w:sz="0" w:space="0" w:color="auto"/>
            <w:left w:val="none" w:sz="0" w:space="0" w:color="auto"/>
            <w:bottom w:val="none" w:sz="0" w:space="0" w:color="auto"/>
            <w:right w:val="none" w:sz="0" w:space="0" w:color="auto"/>
          </w:divBdr>
        </w:div>
        <w:div w:id="1529022853">
          <w:marLeft w:val="0"/>
          <w:marRight w:val="0"/>
          <w:marTop w:val="0"/>
          <w:marBottom w:val="0"/>
          <w:divBdr>
            <w:top w:val="none" w:sz="0" w:space="0" w:color="auto"/>
            <w:left w:val="none" w:sz="0" w:space="0" w:color="auto"/>
            <w:bottom w:val="none" w:sz="0" w:space="0" w:color="auto"/>
            <w:right w:val="none" w:sz="0" w:space="0" w:color="auto"/>
          </w:divBdr>
        </w:div>
        <w:div w:id="1529022856">
          <w:marLeft w:val="0"/>
          <w:marRight w:val="0"/>
          <w:marTop w:val="0"/>
          <w:marBottom w:val="0"/>
          <w:divBdr>
            <w:top w:val="none" w:sz="0" w:space="0" w:color="auto"/>
            <w:left w:val="none" w:sz="0" w:space="0" w:color="auto"/>
            <w:bottom w:val="none" w:sz="0" w:space="0" w:color="auto"/>
            <w:right w:val="none" w:sz="0" w:space="0" w:color="auto"/>
          </w:divBdr>
        </w:div>
        <w:div w:id="1529022857">
          <w:marLeft w:val="0"/>
          <w:marRight w:val="0"/>
          <w:marTop w:val="0"/>
          <w:marBottom w:val="0"/>
          <w:divBdr>
            <w:top w:val="none" w:sz="0" w:space="0" w:color="auto"/>
            <w:left w:val="none" w:sz="0" w:space="0" w:color="auto"/>
            <w:bottom w:val="none" w:sz="0" w:space="0" w:color="auto"/>
            <w:right w:val="none" w:sz="0" w:space="0" w:color="auto"/>
          </w:divBdr>
        </w:div>
      </w:divsChild>
    </w:div>
    <w:div w:id="1529022855">
      <w:marLeft w:val="0"/>
      <w:marRight w:val="0"/>
      <w:marTop w:val="0"/>
      <w:marBottom w:val="0"/>
      <w:divBdr>
        <w:top w:val="none" w:sz="0" w:space="0" w:color="auto"/>
        <w:left w:val="none" w:sz="0" w:space="0" w:color="auto"/>
        <w:bottom w:val="none" w:sz="0" w:space="0" w:color="auto"/>
        <w:right w:val="none" w:sz="0" w:space="0" w:color="auto"/>
      </w:divBdr>
      <w:divsChild>
        <w:div w:id="1529022847">
          <w:marLeft w:val="0"/>
          <w:marRight w:val="0"/>
          <w:marTop w:val="0"/>
          <w:marBottom w:val="0"/>
          <w:divBdr>
            <w:top w:val="none" w:sz="0" w:space="0" w:color="auto"/>
            <w:left w:val="none" w:sz="0" w:space="0" w:color="auto"/>
            <w:bottom w:val="none" w:sz="0" w:space="0" w:color="auto"/>
            <w:right w:val="none" w:sz="0" w:space="0" w:color="auto"/>
          </w:divBdr>
        </w:div>
      </w:divsChild>
    </w:div>
    <w:div w:id="1529022859">
      <w:marLeft w:val="0"/>
      <w:marRight w:val="0"/>
      <w:marTop w:val="0"/>
      <w:marBottom w:val="0"/>
      <w:divBdr>
        <w:top w:val="none" w:sz="0" w:space="0" w:color="auto"/>
        <w:left w:val="none" w:sz="0" w:space="0" w:color="auto"/>
        <w:bottom w:val="none" w:sz="0" w:space="0" w:color="auto"/>
        <w:right w:val="none" w:sz="0" w:space="0" w:color="auto"/>
      </w:divBdr>
      <w:divsChild>
        <w:div w:id="1529022828">
          <w:marLeft w:val="0"/>
          <w:marRight w:val="0"/>
          <w:marTop w:val="0"/>
          <w:marBottom w:val="0"/>
          <w:divBdr>
            <w:top w:val="none" w:sz="0" w:space="0" w:color="auto"/>
            <w:left w:val="none" w:sz="0" w:space="0" w:color="auto"/>
            <w:bottom w:val="none" w:sz="0" w:space="0" w:color="auto"/>
            <w:right w:val="none" w:sz="0" w:space="0" w:color="auto"/>
          </w:divBdr>
        </w:div>
      </w:divsChild>
    </w:div>
    <w:div w:id="1529022861">
      <w:marLeft w:val="0"/>
      <w:marRight w:val="0"/>
      <w:marTop w:val="0"/>
      <w:marBottom w:val="0"/>
      <w:divBdr>
        <w:top w:val="none" w:sz="0" w:space="0" w:color="auto"/>
        <w:left w:val="none" w:sz="0" w:space="0" w:color="auto"/>
        <w:bottom w:val="none" w:sz="0" w:space="0" w:color="auto"/>
        <w:right w:val="none" w:sz="0" w:space="0" w:color="auto"/>
      </w:divBdr>
    </w:div>
    <w:div w:id="1529022862">
      <w:marLeft w:val="0"/>
      <w:marRight w:val="0"/>
      <w:marTop w:val="0"/>
      <w:marBottom w:val="0"/>
      <w:divBdr>
        <w:top w:val="none" w:sz="0" w:space="0" w:color="auto"/>
        <w:left w:val="none" w:sz="0" w:space="0" w:color="auto"/>
        <w:bottom w:val="none" w:sz="0" w:space="0" w:color="auto"/>
        <w:right w:val="none" w:sz="0" w:space="0" w:color="auto"/>
      </w:divBdr>
    </w:div>
    <w:div w:id="1529022863">
      <w:marLeft w:val="0"/>
      <w:marRight w:val="0"/>
      <w:marTop w:val="0"/>
      <w:marBottom w:val="0"/>
      <w:divBdr>
        <w:top w:val="none" w:sz="0" w:space="0" w:color="auto"/>
        <w:left w:val="none" w:sz="0" w:space="0" w:color="auto"/>
        <w:bottom w:val="none" w:sz="0" w:space="0" w:color="auto"/>
        <w:right w:val="none" w:sz="0" w:space="0" w:color="auto"/>
      </w:divBdr>
    </w:div>
    <w:div w:id="1529022864">
      <w:marLeft w:val="0"/>
      <w:marRight w:val="0"/>
      <w:marTop w:val="0"/>
      <w:marBottom w:val="0"/>
      <w:divBdr>
        <w:top w:val="none" w:sz="0" w:space="0" w:color="auto"/>
        <w:left w:val="none" w:sz="0" w:space="0" w:color="auto"/>
        <w:bottom w:val="none" w:sz="0" w:space="0" w:color="auto"/>
        <w:right w:val="none" w:sz="0" w:space="0" w:color="auto"/>
      </w:divBdr>
    </w:div>
    <w:div w:id="1529022865">
      <w:marLeft w:val="0"/>
      <w:marRight w:val="0"/>
      <w:marTop w:val="0"/>
      <w:marBottom w:val="0"/>
      <w:divBdr>
        <w:top w:val="none" w:sz="0" w:space="0" w:color="auto"/>
        <w:left w:val="none" w:sz="0" w:space="0" w:color="auto"/>
        <w:bottom w:val="none" w:sz="0" w:space="0" w:color="auto"/>
        <w:right w:val="none" w:sz="0" w:space="0" w:color="auto"/>
      </w:divBdr>
    </w:div>
    <w:div w:id="15290228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aesb.org/doc_view4.asp?doc=ferc041107.pdf" TargetMode="External"/><Relationship Id="rId18" Type="http://schemas.openxmlformats.org/officeDocument/2006/relationships/hyperlink" Target="http://www.naesb.org/pdf2/weq_srs112006a1.doc" TargetMode="External"/><Relationship Id="rId26" Type="http://schemas.openxmlformats.org/officeDocument/2006/relationships/hyperlink" Target="https://www.naesb.org/pdf4/ferc091814_finalrule_weq_v003_rm05-5-022_order676-h.pdf" TargetMode="External"/><Relationship Id="rId3" Type="http://schemas.openxmlformats.org/officeDocument/2006/relationships/styles" Target="styles.xml"/><Relationship Id="rId21" Type="http://schemas.openxmlformats.org/officeDocument/2006/relationships/hyperlink" Target="http://www.naesb.org/../pdf4/r08027.doc"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nerc.com/pa/Stand/Pages/Project201205MODAAvailableTransferCapability.aspx" TargetMode="External"/><Relationship Id="rId17" Type="http://schemas.openxmlformats.org/officeDocument/2006/relationships/hyperlink" Target="http://www.naesb.org/pdf2/r05026.doc" TargetMode="External"/><Relationship Id="rId25" Type="http://schemas.openxmlformats.org/officeDocument/2006/relationships/hyperlink" Target="http://www.naesb.org/pdf4/ferc112409_order_676E.doc"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aesb.org/pdf2/r05019.doc" TargetMode="External"/><Relationship Id="rId20" Type="http://schemas.openxmlformats.org/officeDocument/2006/relationships/hyperlink" Target="http://www.naesb.org/pdf3/r08011.doc" TargetMode="External"/><Relationship Id="rId29" Type="http://schemas.openxmlformats.org/officeDocument/2006/relationships/hyperlink" Target="http://www.naesb.org/pdf4/ferc_111810_vers_nopr.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esb.org/pdf4/r14002.pdf" TargetMode="External"/><Relationship Id="rId24" Type="http://schemas.openxmlformats.org/officeDocument/2006/relationships/hyperlink" Target="http://www.naesb.org/pdf4/r12006.doc"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naesb.org/pdf3/ferc062308_order890b.doc" TargetMode="External"/><Relationship Id="rId23" Type="http://schemas.openxmlformats.org/officeDocument/2006/relationships/hyperlink" Target="http://www.naesb.org/pdf4/r09015.doc" TargetMode="External"/><Relationship Id="rId28" Type="http://schemas.openxmlformats.org/officeDocument/2006/relationships/hyperlink" Target="http://www.naesb.org/pdf4/naesb_comments_ver_integration_nopr_030211.pdf" TargetMode="External"/><Relationship Id="rId10" Type="http://schemas.openxmlformats.org/officeDocument/2006/relationships/hyperlink" Target="http://www.naesb.org/pdf4/r11020.doc" TargetMode="External"/><Relationship Id="rId19" Type="http://schemas.openxmlformats.org/officeDocument/2006/relationships/hyperlink" Target="http://www.naesb.org/pdf4/r12001.doc"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nerc.com/pa/Stand/Pages/Project2010-14-1-Phase-1-of-Balancing-Authority-RBC.aspx" TargetMode="External"/><Relationship Id="rId14" Type="http://schemas.openxmlformats.org/officeDocument/2006/relationships/hyperlink" Target="http://www.naesb.org/doc_view2.asp?doc=ferc122807.pdf" TargetMode="External"/><Relationship Id="rId22" Type="http://schemas.openxmlformats.org/officeDocument/2006/relationships/hyperlink" Target="http://www.naesb.org/../pdf4/r09003.doc" TargetMode="External"/><Relationship Id="rId27" Type="http://schemas.openxmlformats.org/officeDocument/2006/relationships/hyperlink" Target="http://www.naesb.org/pdf4/ferc_order1000_100311mn.doc" TargetMode="External"/><Relationship Id="rId30" Type="http://schemas.openxmlformats.org/officeDocument/2006/relationships/hyperlink" Target="http://www.ferc.gov/whats-new/comm-meet/2012/062112/E-3.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naesb.org/member_login_check.asp?doc=certification_specifications.docx" TargetMode="External"/><Relationship Id="rId2" Type="http://schemas.openxmlformats.org/officeDocument/2006/relationships/hyperlink" Target="http://www.naesb.org/doc_view4.asp?doc=ferc021607.doc" TargetMode="External"/><Relationship Id="rId1" Type="http://schemas.openxmlformats.org/officeDocument/2006/relationships/hyperlink" Target="http://www.ferc.gov/whats-new/comm-meet/2014/061914/E-17.pdf" TargetMode="External"/><Relationship Id="rId6" Type="http://schemas.openxmlformats.org/officeDocument/2006/relationships/hyperlink" Target="http://www.naesb.org/pdf3/weq_aplan102907w1.pdf" TargetMode="External"/><Relationship Id="rId5" Type="http://schemas.openxmlformats.org/officeDocument/2006/relationships/hyperlink" Target="https://www.ferc.gov/whats-new/comm-meet/2015/041615/M-1.pdf" TargetMode="External"/><Relationship Id="rId4" Type="http://schemas.openxmlformats.org/officeDocument/2006/relationships/hyperlink" Target="https://www.naesb.org/pdf4/ferc041615_electronic_filing_protocols_forms.pdf"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58A628-F94E-45D0-8BA5-8A66EB069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2096</Words>
  <Characters>11952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NORTH AMERICAN ENERGY STANDARDS BOARD</vt:lpstr>
    </vt:vector>
  </TitlesOfParts>
  <Company>Gas Industry Standards Board</Company>
  <LinksUpToDate>false</LinksUpToDate>
  <CharactersWithSpaces>14020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creator>Cory Galik</dc:creator>
  <cp:lastModifiedBy>Denise HRager</cp:lastModifiedBy>
  <cp:revision>3</cp:revision>
  <cp:lastPrinted>2013-09-26T15:52:00Z</cp:lastPrinted>
  <dcterms:created xsi:type="dcterms:W3CDTF">2015-12-16T22:16:00Z</dcterms:created>
  <dcterms:modified xsi:type="dcterms:W3CDTF">2015-12-17T16:49:00Z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