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D0B9BEA" w14:textId="5EB940DB" w:rsidR="002D2DAC" w:rsidRPr="006D1A63" w:rsidRDefault="00651AE4" w:rsidP="00E04C90">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w:t>
      </w:r>
      <w:r w:rsidR="00E04C90">
        <w:rPr>
          <w:rFonts w:ascii="Arial" w:hAnsi="Arial" w:cs="Arial"/>
          <w:sz w:val="22"/>
          <w:szCs w:val="22"/>
        </w:rPr>
        <w:t>6.a – Develop and/or modify the NAESB Business Practice Standards as needed to address the Additional Findings and Considerations identified by Sandia National Laboratories</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01E64F63" w:rsidR="002D2DAC" w:rsidRDefault="002D2DAC" w:rsidP="001C7F2E">
      <w:pPr>
        <w:pStyle w:val="DefaultText"/>
        <w:spacing w:before="120"/>
        <w:rPr>
          <w:rFonts w:ascii="Arial" w:hAnsi="Arial" w:cs="Arial"/>
          <w:sz w:val="22"/>
          <w:szCs w:val="22"/>
        </w:rPr>
      </w:pPr>
      <w:r>
        <w:rPr>
          <w:rFonts w:ascii="Arial" w:hAnsi="Arial" w:cs="Arial"/>
          <w:sz w:val="22"/>
          <w:szCs w:val="22"/>
        </w:rPr>
        <w:lastRenderedPageBreak/>
        <w:t>No action</w:t>
      </w:r>
      <w:r w:rsidR="0053564A">
        <w:rPr>
          <w:rFonts w:ascii="Arial" w:hAnsi="Arial" w:cs="Arial"/>
          <w:sz w:val="22"/>
          <w:szCs w:val="22"/>
        </w:rPr>
        <w:t xml:space="preserve"> is recommended at this time. </w:t>
      </w:r>
      <w:r w:rsidR="00311803">
        <w:rPr>
          <w:rFonts w:ascii="Arial" w:hAnsi="Arial" w:cs="Arial"/>
          <w:sz w:val="22"/>
          <w:szCs w:val="22"/>
        </w:rPr>
        <w:t>Following recommendations developed in 2019 to address the recommendations from Sandia National Laboratories, there were two additional findings assigned to the WEQ to be addressed:</w:t>
      </w:r>
    </w:p>
    <w:tbl>
      <w:tblPr>
        <w:tblStyle w:val="TableGrid"/>
        <w:tblW w:w="0" w:type="auto"/>
        <w:tblInd w:w="0" w:type="dxa"/>
        <w:tblLook w:val="04A0" w:firstRow="1" w:lastRow="0" w:firstColumn="1" w:lastColumn="0" w:noHBand="0" w:noVBand="1"/>
      </w:tblPr>
      <w:tblGrid>
        <w:gridCol w:w="650"/>
        <w:gridCol w:w="1595"/>
        <w:gridCol w:w="4320"/>
        <w:gridCol w:w="1980"/>
        <w:gridCol w:w="1511"/>
      </w:tblGrid>
      <w:tr w:rsidR="00A45A0A" w14:paraId="57B952F6" w14:textId="77777777" w:rsidTr="00A45A0A">
        <w:trPr>
          <w:tblHeader/>
        </w:trPr>
        <w:tc>
          <w:tcPr>
            <w:tcW w:w="650" w:type="dxa"/>
          </w:tcPr>
          <w:p w14:paraId="281FA94E" w14:textId="77777777" w:rsidR="00311803" w:rsidRPr="00022F41" w:rsidRDefault="00311803" w:rsidP="00CD61CA">
            <w:pPr>
              <w:spacing w:before="120" w:after="120"/>
              <w:rPr>
                <w:b/>
                <w:bCs/>
              </w:rPr>
            </w:pPr>
            <w:r w:rsidRPr="00022F41">
              <w:rPr>
                <w:b/>
                <w:bCs/>
              </w:rPr>
              <w:t>Issue</w:t>
            </w:r>
          </w:p>
        </w:tc>
        <w:tc>
          <w:tcPr>
            <w:tcW w:w="1595" w:type="dxa"/>
          </w:tcPr>
          <w:p w14:paraId="61AEDA91" w14:textId="77777777" w:rsidR="00311803" w:rsidRPr="00022F41" w:rsidRDefault="00311803" w:rsidP="00CD61CA">
            <w:pPr>
              <w:spacing w:before="120" w:after="120"/>
              <w:rPr>
                <w:b/>
                <w:bCs/>
              </w:rPr>
            </w:pPr>
            <w:r w:rsidRPr="00022F41">
              <w:rPr>
                <w:b/>
                <w:bCs/>
              </w:rPr>
              <w:t>Report Section (Page Number)</w:t>
            </w:r>
          </w:p>
        </w:tc>
        <w:tc>
          <w:tcPr>
            <w:tcW w:w="4320" w:type="dxa"/>
          </w:tcPr>
          <w:p w14:paraId="0C03E696" w14:textId="77777777" w:rsidR="00311803" w:rsidRPr="00022F41" w:rsidRDefault="00311803" w:rsidP="00CD61CA">
            <w:pPr>
              <w:spacing w:before="120" w:after="120"/>
              <w:rPr>
                <w:b/>
                <w:bCs/>
              </w:rPr>
            </w:pPr>
            <w:r w:rsidRPr="00022F41">
              <w:rPr>
                <w:b/>
                <w:bCs/>
              </w:rPr>
              <w:t>Sandia Findin</w:t>
            </w:r>
            <w:r>
              <w:rPr>
                <w:b/>
                <w:bCs/>
              </w:rPr>
              <w:t>g or Consideration</w:t>
            </w:r>
          </w:p>
        </w:tc>
        <w:tc>
          <w:tcPr>
            <w:tcW w:w="1980" w:type="dxa"/>
          </w:tcPr>
          <w:p w14:paraId="0CB1D047" w14:textId="77777777" w:rsidR="00311803" w:rsidRPr="00CE4EA6" w:rsidRDefault="00311803" w:rsidP="00CD61CA">
            <w:pPr>
              <w:spacing w:before="120" w:after="120"/>
              <w:rPr>
                <w:b/>
                <w:bCs/>
              </w:rPr>
            </w:pPr>
            <w:r w:rsidRPr="00CE4EA6">
              <w:rPr>
                <w:b/>
                <w:bCs/>
              </w:rPr>
              <w:t>Standard Considerations (if applicable)</w:t>
            </w:r>
          </w:p>
        </w:tc>
        <w:tc>
          <w:tcPr>
            <w:tcW w:w="1511" w:type="dxa"/>
          </w:tcPr>
          <w:p w14:paraId="1C8FE7B9" w14:textId="77777777" w:rsidR="00311803" w:rsidRPr="00CE4EA6" w:rsidRDefault="00311803" w:rsidP="00CD61CA">
            <w:pPr>
              <w:spacing w:before="120" w:after="120"/>
              <w:rPr>
                <w:b/>
                <w:bCs/>
              </w:rPr>
            </w:pPr>
            <w:r w:rsidRPr="00CE4EA6">
              <w:rPr>
                <w:b/>
                <w:bCs/>
              </w:rPr>
              <w:t>Assignment (if applicable)</w:t>
            </w:r>
          </w:p>
        </w:tc>
      </w:tr>
      <w:tr w:rsidR="00A45A0A" w14:paraId="33CED188" w14:textId="77777777" w:rsidTr="00A45A0A">
        <w:tc>
          <w:tcPr>
            <w:tcW w:w="650" w:type="dxa"/>
          </w:tcPr>
          <w:p w14:paraId="7BB08E64" w14:textId="77777777" w:rsidR="00311803" w:rsidRDefault="00311803" w:rsidP="00CD61CA">
            <w:pPr>
              <w:spacing w:before="120" w:after="120"/>
              <w:jc w:val="right"/>
            </w:pPr>
            <w:r>
              <w:t>7.</w:t>
            </w:r>
          </w:p>
        </w:tc>
        <w:tc>
          <w:tcPr>
            <w:tcW w:w="1595" w:type="dxa"/>
          </w:tcPr>
          <w:p w14:paraId="3F53892A" w14:textId="77777777" w:rsidR="00311803" w:rsidRDefault="00311803" w:rsidP="00CD61CA">
            <w:pPr>
              <w:spacing w:before="120" w:after="120"/>
            </w:pPr>
            <w:r>
              <w:t>Business Operations Practices and Standards Report Section 6.1.4 – Use of Human Control and Review in Operations (Page 12)</w:t>
            </w:r>
          </w:p>
          <w:p w14:paraId="02C1ED66" w14:textId="77777777" w:rsidR="00311803" w:rsidRDefault="00311803" w:rsidP="00CD61CA">
            <w:pPr>
              <w:spacing w:before="120" w:after="120"/>
            </w:pPr>
            <w:r>
              <w:t>(Table of Contents Section 6.2.1 Use of Human Control and Review in Operations)</w:t>
            </w:r>
          </w:p>
        </w:tc>
        <w:tc>
          <w:tcPr>
            <w:tcW w:w="4320" w:type="dxa"/>
          </w:tcPr>
          <w:p w14:paraId="64BD0D10" w14:textId="77777777" w:rsidR="00311803" w:rsidRDefault="00311803" w:rsidP="00CD61CA">
            <w:pPr>
              <w:spacing w:before="120" w:after="120"/>
            </w:pPr>
            <w:bookmarkStart w:id="0" w:name="_Hlk10107157"/>
            <w:r w:rsidRPr="00220852">
              <w:t xml:space="preserve">With the current trend towards more automation and computer control, this strength should be considered when replacing human operators with autonomous </w:t>
            </w:r>
            <w:bookmarkEnd w:id="0"/>
            <w:r w:rsidRPr="00220852">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1"/>
            </w:r>
            <w:r w:rsidRPr="00220852">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1980" w:type="dxa"/>
          </w:tcPr>
          <w:p w14:paraId="43AB02B2" w14:textId="77777777" w:rsidR="00311803" w:rsidRPr="00CE4EA6" w:rsidRDefault="00311803" w:rsidP="00CD61CA">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1511" w:type="dxa"/>
          </w:tcPr>
          <w:p w14:paraId="12933604" w14:textId="77777777" w:rsidR="00311803" w:rsidRDefault="00311803" w:rsidP="00CD61CA">
            <w:pPr>
              <w:spacing w:before="120" w:after="120"/>
            </w:pPr>
            <w:r w:rsidRPr="00CE4EA6">
              <w:t>WEQ Cybersecurity Subcommittee should investigate applicability to WEQ Business Practice Standards</w:t>
            </w:r>
          </w:p>
          <w:p w14:paraId="522A175B" w14:textId="56CC9326" w:rsidR="00311803" w:rsidRPr="00FE0D9B" w:rsidRDefault="00311803" w:rsidP="00CD61CA">
            <w:pPr>
              <w:spacing w:before="120" w:after="120"/>
              <w:rPr>
                <w:color w:val="FF0000"/>
              </w:rPr>
            </w:pPr>
          </w:p>
        </w:tc>
      </w:tr>
      <w:tr w:rsidR="00A45A0A" w14:paraId="1DA8BC89" w14:textId="77777777" w:rsidTr="00A45A0A">
        <w:tc>
          <w:tcPr>
            <w:tcW w:w="650" w:type="dxa"/>
          </w:tcPr>
          <w:p w14:paraId="20490F39" w14:textId="77777777" w:rsidR="00311803" w:rsidRDefault="00311803" w:rsidP="00CD61CA">
            <w:pPr>
              <w:spacing w:before="120" w:after="120"/>
              <w:jc w:val="right"/>
            </w:pPr>
            <w:r>
              <w:t>13.</w:t>
            </w:r>
          </w:p>
        </w:tc>
        <w:tc>
          <w:tcPr>
            <w:tcW w:w="1595" w:type="dxa"/>
          </w:tcPr>
          <w:p w14:paraId="2DD9B5C1" w14:textId="77777777" w:rsidR="00311803" w:rsidRPr="00E4717A" w:rsidRDefault="00311803" w:rsidP="00CD61CA">
            <w:pPr>
              <w:spacing w:before="120" w:after="120"/>
            </w:pPr>
            <w:r w:rsidRPr="00E4717A">
              <w:t xml:space="preserve">Business Operations Practices and Standards Report – Section 6.1.6 Continued Use of Different Security </w:t>
            </w:r>
            <w:r w:rsidRPr="00E4717A">
              <w:lastRenderedPageBreak/>
              <w:t>Paradigms (Pages 13 – 15)</w:t>
            </w:r>
          </w:p>
          <w:p w14:paraId="141E81DC" w14:textId="77777777" w:rsidR="00311803" w:rsidRPr="00E4717A" w:rsidRDefault="00311803" w:rsidP="00CD61CA">
            <w:pPr>
              <w:spacing w:before="120" w:after="120"/>
            </w:pPr>
            <w:r w:rsidRPr="00E4717A">
              <w:t>(Table of Contents Section 6.2.3 Gas and Electric Industry Interactions)</w:t>
            </w:r>
          </w:p>
          <w:p w14:paraId="7168991B" w14:textId="77777777" w:rsidR="00311803" w:rsidRPr="00E4717A" w:rsidRDefault="00311803" w:rsidP="00CD61CA">
            <w:pPr>
              <w:spacing w:before="120" w:after="120"/>
            </w:pPr>
          </w:p>
        </w:tc>
        <w:tc>
          <w:tcPr>
            <w:tcW w:w="4320" w:type="dxa"/>
          </w:tcPr>
          <w:p w14:paraId="54C685E3" w14:textId="77777777" w:rsidR="00311803" w:rsidRPr="00E4717A" w:rsidRDefault="00311803" w:rsidP="00CD61CA">
            <w:pPr>
              <w:spacing w:before="120" w:after="120"/>
              <w:jc w:val="both"/>
            </w:pPr>
            <w:r w:rsidRPr="00E4717A">
              <w:lastRenderedPageBreak/>
              <w:t>Finally, IET business process as currently implemented may be vulnerable to both replay</w:t>
            </w:r>
            <w:r w:rsidRPr="00E4717A">
              <w:rPr>
                <w:rStyle w:val="FootnoteReference"/>
              </w:rPr>
              <w:footnoteReference w:id="2"/>
            </w:r>
            <w:r w:rsidRPr="00E4717A">
              <w:t xml:space="preserve"> and </w:t>
            </w:r>
            <w:r w:rsidRPr="00E4717A">
              <w:lastRenderedPageBreak/>
              <w:t>amplification</w:t>
            </w:r>
            <w:r w:rsidRPr="00E4717A">
              <w:rPr>
                <w:rStyle w:val="FootnoteReference"/>
              </w:rPr>
              <w:footnoteReference w:id="3"/>
            </w:r>
            <w:r w:rsidRPr="00E4717A">
              <w:t xml:space="preserve"> attacks. Based on the assessment teams review of the transactional process these two attacks were immediately identified as attacks of concern…</w:t>
            </w:r>
          </w:p>
          <w:p w14:paraId="5F0B30A7" w14:textId="77777777" w:rsidR="00311803" w:rsidRPr="00E4717A" w:rsidRDefault="00311803" w:rsidP="00CD61CA">
            <w:pPr>
              <w:spacing w:before="120" w:after="120"/>
            </w:pPr>
            <w:r w:rsidRPr="00E4717A">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1980" w:type="dxa"/>
          </w:tcPr>
          <w:p w14:paraId="4B5652AE" w14:textId="77777777" w:rsidR="00311803" w:rsidRPr="00CE4EA6" w:rsidRDefault="00311803" w:rsidP="00CD61CA">
            <w:pPr>
              <w:spacing w:before="120" w:after="120"/>
            </w:pPr>
            <w:r w:rsidRPr="00CE4EA6">
              <w:lastRenderedPageBreak/>
              <w:t>The subcommittees should consider standard(s) to address mitigation of replay and amplification attacks as aligned with recommended strategies</w:t>
            </w:r>
          </w:p>
        </w:tc>
        <w:tc>
          <w:tcPr>
            <w:tcW w:w="1511" w:type="dxa"/>
          </w:tcPr>
          <w:p w14:paraId="49AEB926" w14:textId="77777777" w:rsidR="00311803" w:rsidRDefault="00311803" w:rsidP="00CD61CA">
            <w:pPr>
              <w:spacing w:before="120" w:after="120"/>
            </w:pPr>
            <w:r w:rsidRPr="00CE4EA6">
              <w:t>WEQ Cybersecurity Subcommittee</w:t>
            </w:r>
          </w:p>
          <w:p w14:paraId="108D7406" w14:textId="242F681D" w:rsidR="00311803" w:rsidRPr="00CE4EA6" w:rsidRDefault="00311803" w:rsidP="00CD61CA">
            <w:pPr>
              <w:spacing w:before="120" w:after="120"/>
            </w:pPr>
          </w:p>
        </w:tc>
      </w:tr>
    </w:tbl>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680B29ED" w:rsidR="002D2DAC" w:rsidRPr="001C7F2E" w:rsidRDefault="00A45A0A" w:rsidP="001C7F2E">
      <w:pPr>
        <w:spacing w:before="120"/>
        <w:rPr>
          <w:rFonts w:ascii="Arial" w:hAnsi="Arial" w:cs="Arial"/>
          <w:sz w:val="22"/>
          <w:szCs w:val="22"/>
        </w:rPr>
      </w:pPr>
      <w:r>
        <w:rPr>
          <w:rFonts w:ascii="Arial" w:hAnsi="Arial" w:cs="Arial"/>
          <w:sz w:val="22"/>
          <w:szCs w:val="22"/>
        </w:rPr>
        <w:t>The subcommittee determined that no further action is needed at this time.</w:t>
      </w:r>
      <w:r w:rsidR="002957DD">
        <w:rPr>
          <w:rFonts w:ascii="Arial" w:hAnsi="Arial" w:cs="Arial"/>
          <w:sz w:val="22"/>
          <w:szCs w:val="22"/>
        </w:rPr>
        <w:t xml:space="preserve"> </w:t>
      </w:r>
      <w:r w:rsidR="00DC2B53">
        <w:rPr>
          <w:rFonts w:ascii="Arial" w:hAnsi="Arial" w:cs="Arial"/>
          <w:sz w:val="22"/>
          <w:szCs w:val="22"/>
        </w:rPr>
        <w:t xml:space="preserve">These issues are either adequately addressed through requirements found in WEQ-001-8, WEQ-002-5, the </w:t>
      </w:r>
      <w:r w:rsidR="00136605">
        <w:rPr>
          <w:rFonts w:ascii="Arial" w:hAnsi="Arial" w:cs="Arial"/>
          <w:sz w:val="22"/>
          <w:szCs w:val="22"/>
        </w:rPr>
        <w:t xml:space="preserve">NAESB Accreditation Requirements for Authorized Certification Authorities </w:t>
      </w:r>
      <w:r w:rsidR="00CB68DC">
        <w:rPr>
          <w:rFonts w:ascii="Arial" w:hAnsi="Arial" w:cs="Arial"/>
          <w:sz w:val="22"/>
          <w:szCs w:val="22"/>
        </w:rPr>
        <w:t>or the</w:t>
      </w:r>
      <w:r w:rsidR="00136605">
        <w:rPr>
          <w:rFonts w:ascii="Arial" w:hAnsi="Arial" w:cs="Arial"/>
          <w:sz w:val="22"/>
          <w:szCs w:val="22"/>
        </w:rPr>
        <w:t xml:space="preserve"> Board Certification Committee ACA Process </w:t>
      </w:r>
      <w:r w:rsidR="00CB68DC">
        <w:rPr>
          <w:rFonts w:ascii="Arial" w:hAnsi="Arial" w:cs="Arial"/>
          <w:sz w:val="22"/>
          <w:szCs w:val="22"/>
        </w:rPr>
        <w:t>or not applicable to the processes and communication protocols utilized by the WEQ.</w:t>
      </w:r>
      <w:r w:rsidR="00136605">
        <w:rPr>
          <w:rFonts w:ascii="Arial" w:hAnsi="Arial" w:cs="Arial"/>
          <w:sz w:val="22"/>
          <w:szCs w:val="22"/>
        </w:rPr>
        <w:t xml:space="preserve"> </w:t>
      </w:r>
      <w:r w:rsidR="002957DD">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14:paraId="36AF4E77" w14:textId="55E26AFC"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00F2494D">
        <w:rPr>
          <w:rFonts w:ascii="Arial" w:hAnsi="Arial" w:cs="Arial"/>
          <w:sz w:val="22"/>
          <w:szCs w:val="22"/>
        </w:rPr>
        <w:t xml:space="preserve">WEQ CSS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3A174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7" w:history="1">
        <w:r w:rsidR="006D1A63" w:rsidRPr="009A7537">
          <w:rPr>
            <w:rStyle w:val="Hyperlink"/>
            <w:rFonts w:ascii="Arial" w:hAnsi="Arial" w:cs="Arial"/>
            <w:sz w:val="22"/>
            <w:szCs w:val="22"/>
          </w:rPr>
          <w:t>May 12, 2020</w:t>
        </w:r>
      </w:hyperlink>
    </w:p>
    <w:p w14:paraId="48D58E57" w14:textId="4BEE195F" w:rsidR="006D1A63" w:rsidRDefault="003A174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June 30, 2020</w:t>
        </w:r>
      </w:hyperlink>
    </w:p>
    <w:p w14:paraId="3E2E031B" w14:textId="2A8B7F47" w:rsidR="006D1A63" w:rsidRDefault="003A174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6D1A63" w:rsidRPr="00304D1C">
          <w:rPr>
            <w:rStyle w:val="Hyperlink"/>
            <w:rFonts w:ascii="Arial" w:hAnsi="Arial" w:cs="Arial"/>
            <w:sz w:val="22"/>
            <w:szCs w:val="22"/>
          </w:rPr>
          <w:t>August 11, 2020</w:t>
        </w:r>
      </w:hyperlink>
    </w:p>
    <w:p w14:paraId="5F5E0732" w14:textId="6A2F303E"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p w14:paraId="2F5AAD8A" w14:textId="4F13C593" w:rsidR="00F2494D" w:rsidRDefault="00F2494D" w:rsidP="00F2494D">
      <w:pPr>
        <w:keepNext/>
        <w:keepLines/>
        <w:widowControl w:val="0"/>
        <w:tabs>
          <w:tab w:val="left" w:pos="1080"/>
        </w:tabs>
        <w:spacing w:before="120"/>
        <w:rPr>
          <w:rFonts w:ascii="Arial" w:hAnsi="Arial" w:cs="Arial"/>
          <w:sz w:val="22"/>
          <w:szCs w:val="22"/>
        </w:rPr>
      </w:pPr>
      <w:r>
        <w:rPr>
          <w:rFonts w:ascii="Arial" w:hAnsi="Arial" w:cs="Arial"/>
          <w:sz w:val="22"/>
          <w:szCs w:val="22"/>
        </w:rPr>
        <w:tab/>
        <w:t>Reference joint WEQ CSS and WEQ OASIS Subcommittee Meeting Minutes:</w:t>
      </w:r>
    </w:p>
    <w:p w14:paraId="448F7DEE" w14:textId="49EDF982" w:rsidR="00F2494D" w:rsidRPr="00F2494D" w:rsidRDefault="00F2494D" w:rsidP="00F2494D">
      <w:pPr>
        <w:pStyle w:val="ListParagraph"/>
        <w:keepNext/>
        <w:keepLines/>
        <w:widowControl w:val="0"/>
        <w:numPr>
          <w:ilvl w:val="0"/>
          <w:numId w:val="11"/>
        </w:numPr>
        <w:tabs>
          <w:tab w:val="left" w:pos="1080"/>
        </w:tabs>
        <w:spacing w:before="120"/>
        <w:rPr>
          <w:rFonts w:ascii="Arial" w:hAnsi="Arial" w:cs="Arial"/>
          <w:sz w:val="22"/>
          <w:szCs w:val="22"/>
        </w:rPr>
      </w:pPr>
      <w:r>
        <w:rPr>
          <w:rFonts w:ascii="Arial" w:hAnsi="Arial" w:cs="Arial"/>
          <w:sz w:val="22"/>
          <w:szCs w:val="22"/>
        </w:rPr>
        <w:t>August 4, 2020</w:t>
      </w:r>
    </w:p>
    <w:sectPr w:rsidR="00F2494D" w:rsidRPr="00F2494D" w:rsidSect="001A65DE">
      <w:headerReference w:type="even" r:id="rId10"/>
      <w:headerReference w:type="default" r:id="rId11"/>
      <w:footerReference w:type="even" r:id="rId12"/>
      <w:footerReference w:type="default" r:id="rId13"/>
      <w:headerReference w:type="first" r:id="rId14"/>
      <w:footerReference w:type="first" r:id="rId15"/>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1325" w14:textId="77777777" w:rsidR="003A174E" w:rsidRDefault="003A174E">
      <w:r>
        <w:separator/>
      </w:r>
    </w:p>
  </w:endnote>
  <w:endnote w:type="continuationSeparator" w:id="0">
    <w:p w14:paraId="750E86C2" w14:textId="77777777" w:rsidR="003A174E" w:rsidRDefault="003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90AF" w14:textId="77777777" w:rsidR="00F55359" w:rsidRDefault="00F5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9B6A" w14:textId="77777777" w:rsidR="00F55359" w:rsidRDefault="00F5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D4EB" w14:textId="77777777" w:rsidR="003A174E" w:rsidRDefault="003A174E">
      <w:r>
        <w:separator/>
      </w:r>
    </w:p>
  </w:footnote>
  <w:footnote w:type="continuationSeparator" w:id="0">
    <w:p w14:paraId="2358B4B6" w14:textId="77777777" w:rsidR="003A174E" w:rsidRDefault="003A174E">
      <w:r>
        <w:continuationSeparator/>
      </w:r>
    </w:p>
  </w:footnote>
  <w:footnote w:id="1">
    <w:p w14:paraId="6D5589A4" w14:textId="77777777" w:rsidR="00311803" w:rsidRDefault="00311803" w:rsidP="00311803">
      <w:pPr>
        <w:pStyle w:val="FootnoteText"/>
      </w:pPr>
      <w:r>
        <w:rPr>
          <w:rStyle w:val="FootnoteReference"/>
        </w:rPr>
        <w:footnoteRef/>
      </w:r>
      <w:r>
        <w:t xml:space="preserve"> NIST SP 800-94 Guide to Intrusion Detection and Prevention Systems (IDPS) </w:t>
      </w:r>
      <w:hyperlink r:id="rId1" w:history="1">
        <w:r w:rsidRPr="00E26520">
          <w:rPr>
            <w:rStyle w:val="Hyperlink"/>
          </w:rPr>
          <w:t>https://nvlpubs.nist.gov/nistpubs/Legacy/SP/nistspecialpublication800-94.pdf</w:t>
        </w:r>
      </w:hyperlink>
      <w:r>
        <w:t xml:space="preserve"> </w:t>
      </w:r>
    </w:p>
  </w:footnote>
  <w:footnote w:id="2">
    <w:p w14:paraId="058E496D" w14:textId="77777777" w:rsidR="00311803" w:rsidRPr="00630A71" w:rsidRDefault="00311803" w:rsidP="00311803">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3">
    <w:p w14:paraId="3EA37CFD" w14:textId="77777777" w:rsidR="00311803" w:rsidRDefault="00311803" w:rsidP="00311803">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A7AF" w14:textId="77777777" w:rsidR="00F55359" w:rsidRDefault="00F5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3A174E"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59856206"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21A166C7"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w:t>
    </w:r>
    <w:r w:rsidR="00F2494D">
      <w:rPr>
        <w:rFonts w:ascii="Arial" w:hAnsi="Arial" w:cs="Arial"/>
        <w:sz w:val="22"/>
        <w:szCs w:val="22"/>
      </w:rPr>
      <w:t xml:space="preserve"> 6.a</w:t>
    </w:r>
  </w:p>
  <w:p w14:paraId="394BBDA4" w14:textId="5D4F738D"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F2494D">
      <w:rPr>
        <w:rFonts w:ascii="Arial" w:hAnsi="Arial" w:cs="Arial"/>
        <w:sz w:val="22"/>
        <w:szCs w:val="22"/>
      </w:rPr>
      <w:t xml:space="preserve">Develop and/or modify the NAESB Business Practice Standards as needed to address the Additional Findings and Considerations identified by Sandia National Laboratories </w:t>
    </w:r>
  </w:p>
  <w:p w14:paraId="29B7039D" w14:textId="77777777" w:rsidR="002D2DAC" w:rsidRDefault="002D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4064" w14:textId="77777777" w:rsidR="00F55359" w:rsidRDefault="00F55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4FDE36F7"/>
    <w:multiLevelType w:val="hybridMultilevel"/>
    <w:tmpl w:val="A3AA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6605"/>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15ED"/>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57DD"/>
    <w:rsid w:val="00296A55"/>
    <w:rsid w:val="00297778"/>
    <w:rsid w:val="002978CE"/>
    <w:rsid w:val="002A061B"/>
    <w:rsid w:val="002A14ED"/>
    <w:rsid w:val="002A1E75"/>
    <w:rsid w:val="002A5809"/>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4D1C"/>
    <w:rsid w:val="0030643F"/>
    <w:rsid w:val="003069D2"/>
    <w:rsid w:val="00307173"/>
    <w:rsid w:val="00310166"/>
    <w:rsid w:val="0031016F"/>
    <w:rsid w:val="00310FFF"/>
    <w:rsid w:val="00311803"/>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174E"/>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465D"/>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A2163"/>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45A0A"/>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B68DC"/>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53"/>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4C90"/>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0C66"/>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494D"/>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359"/>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DD616D"/>
  </w:style>
  <w:style w:type="character" w:styleId="FootnoteReference">
    <w:name w:val="footnote reference"/>
    <w:aliases w:val="o,fr,Style 13,Style 12,Style 15,Style 17,Style 9,o1,fr1,o2,fr2,o3,fr3,Style 18,(NECG) Footnote Reference,Style 20,Style 7"/>
    <w:basedOn w:val="DefaultParagraphFont"/>
    <w:uiPriority w:val="99"/>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3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63020fm.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esb.org/pdf4/weq_css051220fm.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esb.org/pdf4/weq_css081120fm.do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s-cert.gov/ncas/alerts/TA13-088A" TargetMode="External"/><Relationship Id="rId2" Type="http://schemas.openxmlformats.org/officeDocument/2006/relationships/hyperlink" Target="https://docs.microsoft.com/en-us/dotnet/framework/wcf/feature-details/replay-attacks" TargetMode="External"/><Relationship Id="rId1" Type="http://schemas.openxmlformats.org/officeDocument/2006/relationships/hyperlink" Target="https://nvlpubs.nist.gov/nistpubs/Legacy/SP/nistspecialpublication800-94.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2020-08-25T15:24:00Z</dcterms:created>
  <dcterms:modified xsi:type="dcterms:W3CDTF">2020-08-25T15:24:00Z</dcterms:modified>
</cp:coreProperties>
</file>