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8356" w14:textId="77777777" w:rsidR="00DB3043" w:rsidRPr="009E07F2" w:rsidRDefault="00DB3043">
      <w:pPr>
        <w:pStyle w:val="DefaultText"/>
        <w:rPr>
          <w:rFonts w:ascii="Arial" w:hAnsi="Arial" w:cs="Arial"/>
          <w:b/>
          <w:sz w:val="20"/>
        </w:rPr>
      </w:pPr>
    </w:p>
    <w:p w14:paraId="29214FE3"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E23FF93" w14:textId="77777777" w:rsidTr="006B3298">
        <w:tc>
          <w:tcPr>
            <w:tcW w:w="810" w:type="dxa"/>
            <w:tcBorders>
              <w:bottom w:val="single" w:sz="4" w:space="0" w:color="auto"/>
            </w:tcBorders>
          </w:tcPr>
          <w:p w14:paraId="7E02828A" w14:textId="77777777" w:rsidR="00193F4D" w:rsidRPr="009E07F2" w:rsidRDefault="00193F4D" w:rsidP="00C849B1">
            <w:pPr>
              <w:pStyle w:val="DefaultText"/>
              <w:jc w:val="center"/>
              <w:rPr>
                <w:rFonts w:ascii="Arial" w:hAnsi="Arial" w:cs="Arial"/>
                <w:sz w:val="20"/>
              </w:rPr>
            </w:pPr>
          </w:p>
        </w:tc>
        <w:tc>
          <w:tcPr>
            <w:tcW w:w="3960" w:type="dxa"/>
          </w:tcPr>
          <w:p w14:paraId="4156E87C"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E21BCBB" w14:textId="77777777" w:rsidR="00193F4D" w:rsidRPr="009E07F2" w:rsidRDefault="00193F4D" w:rsidP="00C849B1">
            <w:pPr>
              <w:pStyle w:val="DefaultText"/>
              <w:jc w:val="center"/>
              <w:rPr>
                <w:rFonts w:ascii="Arial" w:hAnsi="Arial" w:cs="Arial"/>
                <w:sz w:val="20"/>
              </w:rPr>
            </w:pPr>
          </w:p>
        </w:tc>
        <w:tc>
          <w:tcPr>
            <w:tcW w:w="3690" w:type="dxa"/>
          </w:tcPr>
          <w:p w14:paraId="2F522A0D"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0C038B70" w14:textId="77777777" w:rsidTr="006B3298">
        <w:tc>
          <w:tcPr>
            <w:tcW w:w="810" w:type="dxa"/>
            <w:tcBorders>
              <w:top w:val="single" w:sz="4" w:space="0" w:color="auto"/>
              <w:bottom w:val="single" w:sz="4" w:space="0" w:color="auto"/>
            </w:tcBorders>
          </w:tcPr>
          <w:p w14:paraId="461095D9" w14:textId="77777777" w:rsidR="00193F4D" w:rsidRPr="009E07F2" w:rsidRDefault="00193F4D" w:rsidP="00C849B1">
            <w:pPr>
              <w:pStyle w:val="DefaultText"/>
              <w:jc w:val="center"/>
              <w:rPr>
                <w:rFonts w:ascii="Arial" w:hAnsi="Arial" w:cs="Arial"/>
                <w:sz w:val="20"/>
              </w:rPr>
            </w:pPr>
          </w:p>
        </w:tc>
        <w:tc>
          <w:tcPr>
            <w:tcW w:w="3960" w:type="dxa"/>
          </w:tcPr>
          <w:p w14:paraId="055191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25591B9A" w14:textId="4828615E"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690" w:type="dxa"/>
          </w:tcPr>
          <w:p w14:paraId="6684B43E"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55E90A0C" w14:textId="77777777" w:rsidTr="006B3298">
        <w:tc>
          <w:tcPr>
            <w:tcW w:w="810" w:type="dxa"/>
            <w:tcBorders>
              <w:top w:val="single" w:sz="4" w:space="0" w:color="auto"/>
              <w:bottom w:val="single" w:sz="4" w:space="0" w:color="auto"/>
            </w:tcBorders>
          </w:tcPr>
          <w:p w14:paraId="7F090427" w14:textId="13E4B60A" w:rsidR="00193F4D" w:rsidRPr="009E07F2" w:rsidRDefault="0074340F" w:rsidP="00C849B1">
            <w:pPr>
              <w:pStyle w:val="DefaultText"/>
              <w:jc w:val="center"/>
              <w:rPr>
                <w:rFonts w:ascii="Arial" w:hAnsi="Arial" w:cs="Arial"/>
                <w:sz w:val="20"/>
              </w:rPr>
            </w:pPr>
            <w:r>
              <w:rPr>
                <w:rFonts w:ascii="Arial" w:hAnsi="Arial" w:cs="Arial"/>
                <w:sz w:val="20"/>
              </w:rPr>
              <w:t>X</w:t>
            </w:r>
          </w:p>
        </w:tc>
        <w:tc>
          <w:tcPr>
            <w:tcW w:w="3960" w:type="dxa"/>
          </w:tcPr>
          <w:p w14:paraId="17F13C6A"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1CA765E2" w14:textId="77777777" w:rsidR="00193F4D" w:rsidRPr="009E07F2" w:rsidRDefault="00193F4D" w:rsidP="006B3298">
            <w:pPr>
              <w:pStyle w:val="DefaultText"/>
              <w:rPr>
                <w:rFonts w:ascii="Arial" w:hAnsi="Arial" w:cs="Arial"/>
                <w:sz w:val="20"/>
              </w:rPr>
            </w:pPr>
          </w:p>
        </w:tc>
        <w:tc>
          <w:tcPr>
            <w:tcW w:w="3690" w:type="dxa"/>
          </w:tcPr>
          <w:p w14:paraId="5CFC4B7E" w14:textId="77777777" w:rsidR="00193F4D" w:rsidRPr="009E07F2" w:rsidRDefault="00193F4D" w:rsidP="006B3298">
            <w:pPr>
              <w:pStyle w:val="DefaultText"/>
              <w:rPr>
                <w:rFonts w:ascii="Arial" w:hAnsi="Arial" w:cs="Arial"/>
                <w:sz w:val="20"/>
              </w:rPr>
            </w:pPr>
          </w:p>
        </w:tc>
      </w:tr>
    </w:tbl>
    <w:p w14:paraId="68335010"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2FEB61E3" w14:textId="77777777" w:rsidTr="006B3298">
        <w:tc>
          <w:tcPr>
            <w:tcW w:w="4770" w:type="dxa"/>
            <w:gridSpan w:val="2"/>
          </w:tcPr>
          <w:p w14:paraId="1393709F"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1A545270"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6E51DF29" w14:textId="77777777" w:rsidTr="006B3298">
        <w:tc>
          <w:tcPr>
            <w:tcW w:w="810" w:type="dxa"/>
            <w:tcBorders>
              <w:bottom w:val="single" w:sz="4" w:space="0" w:color="auto"/>
            </w:tcBorders>
          </w:tcPr>
          <w:p w14:paraId="74171B14" w14:textId="77777777" w:rsidR="00193F4D" w:rsidRPr="009E07F2" w:rsidRDefault="00193F4D" w:rsidP="00C849B1">
            <w:pPr>
              <w:pStyle w:val="DefaultText"/>
              <w:jc w:val="center"/>
              <w:rPr>
                <w:rFonts w:ascii="Arial" w:hAnsi="Arial" w:cs="Arial"/>
                <w:sz w:val="20"/>
              </w:rPr>
            </w:pPr>
          </w:p>
        </w:tc>
        <w:tc>
          <w:tcPr>
            <w:tcW w:w="3960" w:type="dxa"/>
          </w:tcPr>
          <w:p w14:paraId="3576B166"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5805585" w14:textId="77777777" w:rsidR="00193F4D" w:rsidRPr="009E07F2" w:rsidRDefault="00193F4D" w:rsidP="00C849B1">
            <w:pPr>
              <w:pStyle w:val="DefaultText"/>
              <w:jc w:val="center"/>
              <w:rPr>
                <w:rFonts w:ascii="Arial" w:hAnsi="Arial" w:cs="Arial"/>
                <w:sz w:val="20"/>
              </w:rPr>
            </w:pPr>
          </w:p>
        </w:tc>
        <w:tc>
          <w:tcPr>
            <w:tcW w:w="3690" w:type="dxa"/>
          </w:tcPr>
          <w:p w14:paraId="475DA363"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79F34141" w14:textId="77777777" w:rsidTr="006B3298">
        <w:tc>
          <w:tcPr>
            <w:tcW w:w="810" w:type="dxa"/>
            <w:tcBorders>
              <w:top w:val="single" w:sz="4" w:space="0" w:color="auto"/>
              <w:bottom w:val="single" w:sz="4" w:space="0" w:color="auto"/>
            </w:tcBorders>
          </w:tcPr>
          <w:p w14:paraId="55EB0BB3" w14:textId="77777777" w:rsidR="00193F4D" w:rsidRPr="009E07F2" w:rsidRDefault="00193F4D" w:rsidP="00C849B1">
            <w:pPr>
              <w:pStyle w:val="DefaultText"/>
              <w:jc w:val="center"/>
              <w:rPr>
                <w:rFonts w:ascii="Arial" w:hAnsi="Arial" w:cs="Arial"/>
                <w:sz w:val="20"/>
              </w:rPr>
            </w:pPr>
          </w:p>
        </w:tc>
        <w:tc>
          <w:tcPr>
            <w:tcW w:w="3960" w:type="dxa"/>
          </w:tcPr>
          <w:p w14:paraId="352CA9C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0D79B8F2" w14:textId="77777777" w:rsidR="00193F4D" w:rsidRPr="009E07F2" w:rsidRDefault="00193F4D" w:rsidP="00C849B1">
            <w:pPr>
              <w:pStyle w:val="DefaultText"/>
              <w:jc w:val="center"/>
              <w:rPr>
                <w:rFonts w:ascii="Arial" w:hAnsi="Arial" w:cs="Arial"/>
                <w:sz w:val="20"/>
              </w:rPr>
            </w:pPr>
          </w:p>
        </w:tc>
        <w:tc>
          <w:tcPr>
            <w:tcW w:w="3690" w:type="dxa"/>
          </w:tcPr>
          <w:p w14:paraId="11B8CF3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0B7758E9" w14:textId="77777777" w:rsidTr="006B3298">
        <w:tc>
          <w:tcPr>
            <w:tcW w:w="810" w:type="dxa"/>
            <w:tcBorders>
              <w:top w:val="single" w:sz="4" w:space="0" w:color="auto"/>
              <w:bottom w:val="single" w:sz="4" w:space="0" w:color="auto"/>
            </w:tcBorders>
          </w:tcPr>
          <w:p w14:paraId="041B629D" w14:textId="77777777" w:rsidR="00193F4D" w:rsidRPr="009E07F2" w:rsidRDefault="00193F4D" w:rsidP="00C849B1">
            <w:pPr>
              <w:pStyle w:val="DefaultText"/>
              <w:jc w:val="center"/>
              <w:rPr>
                <w:rFonts w:ascii="Arial" w:hAnsi="Arial" w:cs="Arial"/>
                <w:sz w:val="20"/>
              </w:rPr>
            </w:pPr>
          </w:p>
        </w:tc>
        <w:tc>
          <w:tcPr>
            <w:tcW w:w="3960" w:type="dxa"/>
          </w:tcPr>
          <w:p w14:paraId="29A2C83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4E80C78" w14:textId="77777777" w:rsidR="00193F4D" w:rsidRPr="009E07F2" w:rsidRDefault="00193F4D" w:rsidP="00C849B1">
            <w:pPr>
              <w:pStyle w:val="DefaultText"/>
              <w:jc w:val="center"/>
              <w:rPr>
                <w:rFonts w:ascii="Arial" w:hAnsi="Arial" w:cs="Arial"/>
                <w:sz w:val="20"/>
              </w:rPr>
            </w:pPr>
          </w:p>
        </w:tc>
        <w:tc>
          <w:tcPr>
            <w:tcW w:w="3690" w:type="dxa"/>
          </w:tcPr>
          <w:p w14:paraId="353348A9"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00558FE7" w14:textId="77777777" w:rsidTr="006B3298">
        <w:tc>
          <w:tcPr>
            <w:tcW w:w="810" w:type="dxa"/>
            <w:tcBorders>
              <w:top w:val="single" w:sz="4" w:space="0" w:color="auto"/>
              <w:bottom w:val="single" w:sz="4" w:space="0" w:color="auto"/>
            </w:tcBorders>
          </w:tcPr>
          <w:p w14:paraId="7C9A8A21" w14:textId="77777777" w:rsidR="00193F4D" w:rsidRPr="009E07F2" w:rsidRDefault="00193F4D" w:rsidP="00C849B1">
            <w:pPr>
              <w:pStyle w:val="DefaultText"/>
              <w:jc w:val="center"/>
              <w:rPr>
                <w:rFonts w:ascii="Arial" w:hAnsi="Arial" w:cs="Arial"/>
                <w:sz w:val="20"/>
              </w:rPr>
            </w:pPr>
          </w:p>
        </w:tc>
        <w:tc>
          <w:tcPr>
            <w:tcW w:w="3960" w:type="dxa"/>
          </w:tcPr>
          <w:p w14:paraId="4FB209A0"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7C281FDB" w14:textId="77777777" w:rsidR="00193F4D" w:rsidRPr="009E07F2" w:rsidRDefault="00193F4D" w:rsidP="00C849B1">
            <w:pPr>
              <w:pStyle w:val="DefaultText"/>
              <w:jc w:val="center"/>
              <w:rPr>
                <w:rFonts w:ascii="Arial" w:hAnsi="Arial" w:cs="Arial"/>
                <w:sz w:val="20"/>
              </w:rPr>
            </w:pPr>
          </w:p>
        </w:tc>
        <w:tc>
          <w:tcPr>
            <w:tcW w:w="3690" w:type="dxa"/>
          </w:tcPr>
          <w:p w14:paraId="2A5B018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20F2F24E" w14:textId="77777777" w:rsidTr="006B3298">
        <w:tc>
          <w:tcPr>
            <w:tcW w:w="810" w:type="dxa"/>
            <w:tcBorders>
              <w:top w:val="single" w:sz="4" w:space="0" w:color="auto"/>
            </w:tcBorders>
          </w:tcPr>
          <w:p w14:paraId="6D7E42D1" w14:textId="77777777" w:rsidR="00193F4D" w:rsidRPr="009E07F2" w:rsidRDefault="00193F4D" w:rsidP="00C849B1">
            <w:pPr>
              <w:pStyle w:val="DefaultText"/>
              <w:jc w:val="center"/>
              <w:rPr>
                <w:rFonts w:ascii="Arial" w:hAnsi="Arial" w:cs="Arial"/>
                <w:sz w:val="20"/>
              </w:rPr>
            </w:pPr>
          </w:p>
        </w:tc>
        <w:tc>
          <w:tcPr>
            <w:tcW w:w="3960" w:type="dxa"/>
          </w:tcPr>
          <w:p w14:paraId="1FD64B15"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7B0B2FEE" w14:textId="77777777" w:rsidR="00193F4D" w:rsidRPr="009E07F2" w:rsidRDefault="00193F4D" w:rsidP="00C849B1">
            <w:pPr>
              <w:pStyle w:val="DefaultText"/>
              <w:jc w:val="center"/>
              <w:rPr>
                <w:rFonts w:ascii="Arial" w:hAnsi="Arial" w:cs="Arial"/>
                <w:sz w:val="20"/>
              </w:rPr>
            </w:pPr>
          </w:p>
        </w:tc>
        <w:tc>
          <w:tcPr>
            <w:tcW w:w="3690" w:type="dxa"/>
          </w:tcPr>
          <w:p w14:paraId="773AAC5A" w14:textId="77777777" w:rsidR="00193F4D" w:rsidRPr="009E07F2" w:rsidRDefault="00193F4D" w:rsidP="006B3298">
            <w:pPr>
              <w:pStyle w:val="DefaultText"/>
              <w:rPr>
                <w:rFonts w:ascii="Arial" w:hAnsi="Arial" w:cs="Arial"/>
                <w:sz w:val="20"/>
              </w:rPr>
            </w:pPr>
          </w:p>
        </w:tc>
      </w:tr>
      <w:tr w:rsidR="00193F4D" w:rsidRPr="009E07F2" w14:paraId="02E3218A" w14:textId="77777777" w:rsidTr="006B3298">
        <w:tc>
          <w:tcPr>
            <w:tcW w:w="810" w:type="dxa"/>
            <w:tcBorders>
              <w:bottom w:val="single" w:sz="4" w:space="0" w:color="auto"/>
            </w:tcBorders>
          </w:tcPr>
          <w:p w14:paraId="23466CAF" w14:textId="77777777" w:rsidR="00193F4D" w:rsidRPr="009E07F2" w:rsidRDefault="00193F4D" w:rsidP="00C849B1">
            <w:pPr>
              <w:pStyle w:val="DefaultText"/>
              <w:jc w:val="center"/>
              <w:rPr>
                <w:rFonts w:ascii="Arial" w:hAnsi="Arial" w:cs="Arial"/>
                <w:sz w:val="20"/>
              </w:rPr>
            </w:pPr>
          </w:p>
        </w:tc>
        <w:tc>
          <w:tcPr>
            <w:tcW w:w="3960" w:type="dxa"/>
          </w:tcPr>
          <w:p w14:paraId="5FC440F3"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06FCA025" w14:textId="77777777" w:rsidR="00193F4D" w:rsidRPr="009E07F2" w:rsidRDefault="00193F4D" w:rsidP="00C849B1">
            <w:pPr>
              <w:pStyle w:val="DefaultText"/>
              <w:jc w:val="center"/>
              <w:rPr>
                <w:rFonts w:ascii="Arial" w:hAnsi="Arial" w:cs="Arial"/>
                <w:sz w:val="20"/>
              </w:rPr>
            </w:pPr>
          </w:p>
        </w:tc>
        <w:tc>
          <w:tcPr>
            <w:tcW w:w="3690" w:type="dxa"/>
          </w:tcPr>
          <w:p w14:paraId="24985434"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1DC6C37D" w14:textId="77777777" w:rsidTr="006B3298">
        <w:tc>
          <w:tcPr>
            <w:tcW w:w="810" w:type="dxa"/>
            <w:tcBorders>
              <w:top w:val="single" w:sz="4" w:space="0" w:color="auto"/>
              <w:bottom w:val="single" w:sz="4" w:space="0" w:color="auto"/>
            </w:tcBorders>
          </w:tcPr>
          <w:p w14:paraId="5E8A6C05" w14:textId="77777777" w:rsidR="00193F4D" w:rsidRPr="009E07F2" w:rsidRDefault="00193F4D" w:rsidP="00C849B1">
            <w:pPr>
              <w:pStyle w:val="DefaultText"/>
              <w:jc w:val="center"/>
              <w:rPr>
                <w:rFonts w:ascii="Arial" w:hAnsi="Arial" w:cs="Arial"/>
                <w:sz w:val="20"/>
              </w:rPr>
            </w:pPr>
          </w:p>
        </w:tc>
        <w:tc>
          <w:tcPr>
            <w:tcW w:w="3960" w:type="dxa"/>
          </w:tcPr>
          <w:p w14:paraId="7F5EE131"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75F222C9" w14:textId="77777777" w:rsidR="00193F4D" w:rsidRPr="009E07F2" w:rsidRDefault="00193F4D" w:rsidP="00C849B1">
            <w:pPr>
              <w:pStyle w:val="DefaultText"/>
              <w:jc w:val="center"/>
              <w:rPr>
                <w:rFonts w:ascii="Arial" w:hAnsi="Arial" w:cs="Arial"/>
                <w:sz w:val="20"/>
              </w:rPr>
            </w:pPr>
          </w:p>
        </w:tc>
        <w:tc>
          <w:tcPr>
            <w:tcW w:w="3690" w:type="dxa"/>
          </w:tcPr>
          <w:p w14:paraId="652D8150"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09CCEC4B" w14:textId="77777777" w:rsidTr="006B3298">
        <w:tc>
          <w:tcPr>
            <w:tcW w:w="810" w:type="dxa"/>
            <w:tcBorders>
              <w:top w:val="single" w:sz="4" w:space="0" w:color="auto"/>
              <w:bottom w:val="single" w:sz="4" w:space="0" w:color="auto"/>
            </w:tcBorders>
          </w:tcPr>
          <w:p w14:paraId="6D465BB0" w14:textId="77777777" w:rsidR="00193F4D" w:rsidRPr="009E07F2" w:rsidRDefault="00193F4D" w:rsidP="00C849B1">
            <w:pPr>
              <w:pStyle w:val="DefaultText"/>
              <w:jc w:val="center"/>
              <w:rPr>
                <w:rFonts w:ascii="Arial" w:hAnsi="Arial" w:cs="Arial"/>
                <w:sz w:val="20"/>
              </w:rPr>
            </w:pPr>
          </w:p>
        </w:tc>
        <w:tc>
          <w:tcPr>
            <w:tcW w:w="3960" w:type="dxa"/>
          </w:tcPr>
          <w:p w14:paraId="3F38618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7101615C" w14:textId="77777777" w:rsidR="00193F4D" w:rsidRPr="009E07F2" w:rsidRDefault="00193F4D" w:rsidP="00C849B1">
            <w:pPr>
              <w:pStyle w:val="DefaultText"/>
              <w:jc w:val="center"/>
              <w:rPr>
                <w:rFonts w:ascii="Arial" w:hAnsi="Arial" w:cs="Arial"/>
                <w:sz w:val="20"/>
              </w:rPr>
            </w:pPr>
          </w:p>
        </w:tc>
        <w:tc>
          <w:tcPr>
            <w:tcW w:w="3690" w:type="dxa"/>
          </w:tcPr>
          <w:p w14:paraId="5D00FBE8"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46D757C8" w14:textId="77777777" w:rsidTr="006B3298">
        <w:tc>
          <w:tcPr>
            <w:tcW w:w="810" w:type="dxa"/>
            <w:tcBorders>
              <w:top w:val="single" w:sz="4" w:space="0" w:color="auto"/>
              <w:bottom w:val="single" w:sz="4" w:space="0" w:color="auto"/>
            </w:tcBorders>
          </w:tcPr>
          <w:p w14:paraId="1591BA23" w14:textId="77777777" w:rsidR="00193F4D" w:rsidRPr="009E07F2" w:rsidRDefault="00193F4D" w:rsidP="00C849B1">
            <w:pPr>
              <w:pStyle w:val="DefaultText"/>
              <w:jc w:val="center"/>
              <w:rPr>
                <w:rFonts w:ascii="Arial" w:hAnsi="Arial" w:cs="Arial"/>
                <w:sz w:val="20"/>
              </w:rPr>
            </w:pPr>
          </w:p>
        </w:tc>
        <w:tc>
          <w:tcPr>
            <w:tcW w:w="3960" w:type="dxa"/>
          </w:tcPr>
          <w:p w14:paraId="129E8FBC"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7FCC98E" w14:textId="77777777" w:rsidR="00193F4D" w:rsidRPr="009E07F2" w:rsidRDefault="00193F4D" w:rsidP="00C849B1">
            <w:pPr>
              <w:pStyle w:val="DefaultText"/>
              <w:jc w:val="center"/>
              <w:rPr>
                <w:rFonts w:ascii="Arial" w:hAnsi="Arial" w:cs="Arial"/>
                <w:sz w:val="20"/>
              </w:rPr>
            </w:pPr>
          </w:p>
        </w:tc>
        <w:tc>
          <w:tcPr>
            <w:tcW w:w="3690" w:type="dxa"/>
          </w:tcPr>
          <w:p w14:paraId="67CD3782"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6F307C1B" w14:textId="77777777" w:rsidTr="006B3298">
        <w:tc>
          <w:tcPr>
            <w:tcW w:w="810" w:type="dxa"/>
            <w:tcBorders>
              <w:top w:val="single" w:sz="4" w:space="0" w:color="auto"/>
              <w:bottom w:val="single" w:sz="4" w:space="0" w:color="auto"/>
            </w:tcBorders>
          </w:tcPr>
          <w:p w14:paraId="4E4F8087" w14:textId="77777777" w:rsidR="00193F4D" w:rsidRPr="009E07F2" w:rsidRDefault="00193F4D" w:rsidP="00C849B1">
            <w:pPr>
              <w:pStyle w:val="DefaultText"/>
              <w:jc w:val="center"/>
              <w:rPr>
                <w:rFonts w:ascii="Arial" w:hAnsi="Arial" w:cs="Arial"/>
                <w:sz w:val="20"/>
              </w:rPr>
            </w:pPr>
          </w:p>
        </w:tc>
        <w:tc>
          <w:tcPr>
            <w:tcW w:w="3960" w:type="dxa"/>
          </w:tcPr>
          <w:p w14:paraId="5B0291F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0CA658D2" w14:textId="77777777" w:rsidR="00193F4D" w:rsidRPr="009E07F2" w:rsidRDefault="00193F4D" w:rsidP="00C849B1">
            <w:pPr>
              <w:pStyle w:val="DefaultText"/>
              <w:jc w:val="center"/>
              <w:rPr>
                <w:rFonts w:ascii="Arial" w:hAnsi="Arial" w:cs="Arial"/>
                <w:sz w:val="20"/>
              </w:rPr>
            </w:pPr>
          </w:p>
        </w:tc>
        <w:tc>
          <w:tcPr>
            <w:tcW w:w="3690" w:type="dxa"/>
          </w:tcPr>
          <w:p w14:paraId="64AA2A95"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2B41471" w14:textId="77777777" w:rsidTr="006B3298">
        <w:tc>
          <w:tcPr>
            <w:tcW w:w="810" w:type="dxa"/>
            <w:tcBorders>
              <w:top w:val="single" w:sz="4" w:space="0" w:color="auto"/>
              <w:bottom w:val="single" w:sz="4" w:space="0" w:color="auto"/>
            </w:tcBorders>
          </w:tcPr>
          <w:p w14:paraId="3215F9D1" w14:textId="77777777" w:rsidR="00193F4D" w:rsidRPr="009E07F2" w:rsidRDefault="00193F4D" w:rsidP="00C849B1">
            <w:pPr>
              <w:pStyle w:val="DefaultText"/>
              <w:jc w:val="center"/>
              <w:rPr>
                <w:rFonts w:ascii="Arial" w:hAnsi="Arial" w:cs="Arial"/>
                <w:sz w:val="20"/>
              </w:rPr>
            </w:pPr>
          </w:p>
        </w:tc>
        <w:tc>
          <w:tcPr>
            <w:tcW w:w="3960" w:type="dxa"/>
          </w:tcPr>
          <w:p w14:paraId="101D90E2"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594BEC4A" w14:textId="77777777" w:rsidR="00193F4D" w:rsidRPr="009E07F2" w:rsidRDefault="00193F4D" w:rsidP="00C849B1">
            <w:pPr>
              <w:pStyle w:val="DefaultText"/>
              <w:jc w:val="center"/>
              <w:rPr>
                <w:rFonts w:ascii="Arial" w:hAnsi="Arial" w:cs="Arial"/>
                <w:sz w:val="20"/>
              </w:rPr>
            </w:pPr>
          </w:p>
        </w:tc>
        <w:tc>
          <w:tcPr>
            <w:tcW w:w="3690" w:type="dxa"/>
          </w:tcPr>
          <w:p w14:paraId="50B4C9F1"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387F28E" w14:textId="77777777" w:rsidTr="006B3298">
        <w:tc>
          <w:tcPr>
            <w:tcW w:w="810" w:type="dxa"/>
            <w:tcBorders>
              <w:top w:val="single" w:sz="4" w:space="0" w:color="auto"/>
              <w:bottom w:val="single" w:sz="4" w:space="0" w:color="auto"/>
            </w:tcBorders>
          </w:tcPr>
          <w:p w14:paraId="1181107D" w14:textId="77777777" w:rsidR="00193F4D" w:rsidRPr="009E07F2" w:rsidRDefault="00193F4D" w:rsidP="00C849B1">
            <w:pPr>
              <w:pStyle w:val="DefaultText"/>
              <w:jc w:val="center"/>
              <w:rPr>
                <w:rFonts w:ascii="Arial" w:hAnsi="Arial" w:cs="Arial"/>
                <w:sz w:val="20"/>
              </w:rPr>
            </w:pPr>
          </w:p>
        </w:tc>
        <w:tc>
          <w:tcPr>
            <w:tcW w:w="3960" w:type="dxa"/>
          </w:tcPr>
          <w:p w14:paraId="1F62524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19FBDAA5" w14:textId="77777777" w:rsidR="00193F4D" w:rsidRPr="009E07F2" w:rsidRDefault="00193F4D" w:rsidP="00C849B1">
            <w:pPr>
              <w:pStyle w:val="DefaultText"/>
              <w:jc w:val="center"/>
              <w:rPr>
                <w:rFonts w:ascii="Arial" w:hAnsi="Arial" w:cs="Arial"/>
                <w:sz w:val="20"/>
              </w:rPr>
            </w:pPr>
          </w:p>
        </w:tc>
        <w:tc>
          <w:tcPr>
            <w:tcW w:w="3690" w:type="dxa"/>
          </w:tcPr>
          <w:p w14:paraId="6DFFA5C9"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66C2E32" w14:textId="77777777" w:rsidTr="006B3298">
        <w:tc>
          <w:tcPr>
            <w:tcW w:w="810" w:type="dxa"/>
            <w:tcBorders>
              <w:top w:val="single" w:sz="4" w:space="0" w:color="auto"/>
              <w:bottom w:val="single" w:sz="4" w:space="0" w:color="auto"/>
            </w:tcBorders>
          </w:tcPr>
          <w:p w14:paraId="1170DFAC" w14:textId="77777777" w:rsidR="00193F4D" w:rsidRPr="009E07F2" w:rsidRDefault="00193F4D" w:rsidP="00C849B1">
            <w:pPr>
              <w:pStyle w:val="DefaultText"/>
              <w:jc w:val="center"/>
              <w:rPr>
                <w:rFonts w:ascii="Arial" w:hAnsi="Arial" w:cs="Arial"/>
                <w:sz w:val="20"/>
              </w:rPr>
            </w:pPr>
          </w:p>
        </w:tc>
        <w:tc>
          <w:tcPr>
            <w:tcW w:w="3960" w:type="dxa"/>
          </w:tcPr>
          <w:p w14:paraId="324171CC"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13B76E50" w14:textId="77777777" w:rsidR="00193F4D" w:rsidRPr="009E07F2" w:rsidRDefault="00193F4D" w:rsidP="00C849B1">
            <w:pPr>
              <w:pStyle w:val="DefaultText"/>
              <w:jc w:val="center"/>
              <w:rPr>
                <w:rFonts w:ascii="Arial" w:hAnsi="Arial" w:cs="Arial"/>
                <w:sz w:val="20"/>
              </w:rPr>
            </w:pPr>
          </w:p>
        </w:tc>
        <w:tc>
          <w:tcPr>
            <w:tcW w:w="3690" w:type="dxa"/>
          </w:tcPr>
          <w:p w14:paraId="7F0FA64F"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F34F3A1" w14:textId="77777777" w:rsidR="00DB3043" w:rsidRPr="009E07F2" w:rsidRDefault="00DB3043" w:rsidP="00A506CF">
      <w:pPr>
        <w:pStyle w:val="DefaultText"/>
        <w:spacing w:before="120"/>
        <w:rPr>
          <w:rFonts w:ascii="Arial" w:hAnsi="Arial" w:cs="Arial"/>
          <w:sz w:val="20"/>
        </w:rPr>
      </w:pPr>
    </w:p>
    <w:p w14:paraId="3D733B8F" w14:textId="77777777"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08C0AF26" w14:textId="77777777" w:rsidR="00DB3043" w:rsidRPr="009E07F2" w:rsidRDefault="00DB3043" w:rsidP="00A506CF">
      <w:pPr>
        <w:pStyle w:val="DefaultText"/>
        <w:spacing w:before="120"/>
        <w:rPr>
          <w:rFonts w:ascii="Arial" w:hAnsi="Arial" w:cs="Arial"/>
          <w:sz w:val="20"/>
        </w:rPr>
      </w:pPr>
    </w:p>
    <w:p w14:paraId="630C023E"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595EFFF9" w14:textId="2A18E00F" w:rsidR="00A506CF" w:rsidRPr="009E07F2" w:rsidRDefault="009502C3" w:rsidP="00A506CF">
      <w:pPr>
        <w:pStyle w:val="DefaultText"/>
        <w:spacing w:before="120"/>
        <w:rPr>
          <w:rFonts w:ascii="Arial" w:hAnsi="Arial" w:cs="Arial"/>
          <w:sz w:val="22"/>
        </w:rPr>
      </w:pPr>
      <w:bookmarkStart w:id="0" w:name="_Hlk172618649"/>
      <w:r w:rsidRPr="009502C3">
        <w:rPr>
          <w:rFonts w:ascii="Arial" w:hAnsi="Arial" w:cs="Arial"/>
          <w:sz w:val="22"/>
        </w:rPr>
        <w:t xml:space="preserve">2024 WEQ Annual Plan Item </w:t>
      </w:r>
      <w:r w:rsidR="0074340F">
        <w:rPr>
          <w:rFonts w:ascii="Arial" w:hAnsi="Arial" w:cs="Arial"/>
          <w:sz w:val="22"/>
        </w:rPr>
        <w:t>1.d</w:t>
      </w:r>
      <w:r w:rsidRPr="009502C3">
        <w:rPr>
          <w:rFonts w:ascii="Arial" w:hAnsi="Arial" w:cs="Arial"/>
          <w:sz w:val="22"/>
        </w:rPr>
        <w:t xml:space="preserve"> – </w:t>
      </w:r>
      <w:r w:rsidR="0074340F" w:rsidRPr="0074340F">
        <w:rPr>
          <w:rFonts w:ascii="Arial" w:hAnsi="Arial" w:cs="Arial"/>
          <w:sz w:val="22"/>
        </w:rPr>
        <w:t>Develop and/or modify any necessary business practice standards, including revisions to WEQ-022 EIR Business Practice Standards, to complement and support new organization registration roles for inverter-based resources within the NERC Compliance Registry</w:t>
      </w:r>
    </w:p>
    <w:bookmarkEnd w:id="0"/>
    <w:p w14:paraId="2C8EDD8F"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7FD67237" w14:textId="1C433D3D" w:rsidR="00A506CF" w:rsidRPr="009E07F2" w:rsidRDefault="009502C3" w:rsidP="00A506CF">
      <w:pPr>
        <w:pStyle w:val="DefaultText"/>
        <w:spacing w:before="120"/>
        <w:rPr>
          <w:rFonts w:ascii="Arial" w:hAnsi="Arial" w:cs="Arial"/>
          <w:sz w:val="22"/>
        </w:rPr>
      </w:pPr>
      <w:r>
        <w:rPr>
          <w:rFonts w:ascii="Arial" w:hAnsi="Arial" w:cs="Arial"/>
          <w:sz w:val="22"/>
        </w:rPr>
        <w:t>The subcommittee recommends no action at this time.</w:t>
      </w:r>
    </w:p>
    <w:p w14:paraId="60E89BD1" w14:textId="77777777" w:rsidR="00DB3043" w:rsidRPr="009E07F2" w:rsidRDefault="00DB3043" w:rsidP="00A506CF">
      <w:pPr>
        <w:pStyle w:val="DefaultText"/>
        <w:spacing w:before="120"/>
        <w:rPr>
          <w:rFonts w:ascii="Arial" w:hAnsi="Arial" w:cs="Arial"/>
          <w:sz w:val="20"/>
        </w:rPr>
      </w:pPr>
    </w:p>
    <w:p w14:paraId="035FCC90" w14:textId="77777777" w:rsidR="00DB3043" w:rsidRPr="009E07F2" w:rsidRDefault="00DB3043" w:rsidP="00A506CF">
      <w:pPr>
        <w:pStyle w:val="DefaultText"/>
        <w:spacing w:before="120"/>
        <w:rPr>
          <w:rFonts w:ascii="Arial" w:hAnsi="Arial" w:cs="Arial"/>
          <w:sz w:val="20"/>
        </w:rPr>
      </w:pPr>
    </w:p>
    <w:p w14:paraId="203E5698" w14:textId="6727397E"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14:paraId="128CBBB2" w14:textId="77777777" w:rsidR="00DB3043" w:rsidRPr="009E07F2" w:rsidRDefault="00C849B1" w:rsidP="00945AFC">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4C7B8642" w14:textId="45E5873A" w:rsidR="00DB3043" w:rsidRPr="009E07F2" w:rsidRDefault="0074340F" w:rsidP="00945AFC">
      <w:pPr>
        <w:autoSpaceDE w:val="0"/>
        <w:autoSpaceDN w:val="0"/>
        <w:adjustRightInd w:val="0"/>
        <w:spacing w:before="60"/>
        <w:rPr>
          <w:rFonts w:ascii="Arial" w:hAnsi="Arial" w:cs="Arial"/>
        </w:rPr>
      </w:pPr>
      <w:r w:rsidRPr="0074340F">
        <w:rPr>
          <w:rFonts w:ascii="Arial" w:hAnsi="Arial" w:cs="Arial"/>
          <w:szCs w:val="23"/>
        </w:rPr>
        <w:t>2024 WEQ Annual Plan Item 1.d – Develop and/or modify any necessary business practice standards, including revisions to WEQ-022 EIR Business Practice Standards, to complement and support new organization registration roles for inverter-based resources within the NERC Compliance Registry</w:t>
      </w:r>
    </w:p>
    <w:p w14:paraId="39DA6F30" w14:textId="77777777" w:rsidR="00DB3043" w:rsidRPr="009E07F2" w:rsidRDefault="00C849B1" w:rsidP="00945AFC">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6C3C1E0D" w14:textId="1181A57F" w:rsidR="00DB3043" w:rsidRPr="009E07F2" w:rsidRDefault="009502C3" w:rsidP="00945AFC">
      <w:pPr>
        <w:pStyle w:val="DefaultText"/>
        <w:spacing w:before="60"/>
        <w:rPr>
          <w:rFonts w:ascii="Arial" w:hAnsi="Arial" w:cs="Arial"/>
          <w:sz w:val="20"/>
        </w:rPr>
      </w:pPr>
      <w:r>
        <w:rPr>
          <w:rFonts w:ascii="Arial" w:hAnsi="Arial" w:cs="Arial"/>
          <w:sz w:val="20"/>
        </w:rPr>
        <w:t>The subcommittee recommends no action at this time.</w:t>
      </w:r>
    </w:p>
    <w:p w14:paraId="5959B7CE" w14:textId="77777777" w:rsidR="00DB3043" w:rsidRPr="009E07F2" w:rsidRDefault="00C849B1" w:rsidP="00945AFC">
      <w:pPr>
        <w:pStyle w:val="DefaultText"/>
        <w:tabs>
          <w:tab w:val="left" w:pos="1080"/>
        </w:tabs>
        <w:spacing w:before="6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3F4D4F13" w14:textId="771E77B9" w:rsidR="0074340F" w:rsidRDefault="0074340F" w:rsidP="00945AFC">
      <w:pPr>
        <w:spacing w:before="60"/>
        <w:rPr>
          <w:rFonts w:ascii="Arial" w:hAnsi="Arial" w:cs="Arial"/>
        </w:rPr>
      </w:pPr>
      <w:r>
        <w:rPr>
          <w:rFonts w:ascii="Arial" w:hAnsi="Arial" w:cs="Arial"/>
        </w:rPr>
        <w:t xml:space="preserve">The WEQ CISS has determined there are no needed modifications to the NAESB WEQ Business Practice Standards </w:t>
      </w:r>
      <w:r w:rsidR="000742EB">
        <w:rPr>
          <w:rFonts w:ascii="Arial" w:hAnsi="Arial" w:cs="Arial"/>
        </w:rPr>
        <w:t>based on the changes developed by NERC, and approved by FERC, regarding the modifications to the NERC Rules of Procedure to support the registration of inverter-based resources (IBRs) in the NERC Compliance Registry. As part of Appendix 2 Definitions Used in the Rules of Procedure, effective Ju</w:t>
      </w:r>
      <w:r w:rsidR="002902D0">
        <w:rPr>
          <w:rFonts w:ascii="Arial" w:hAnsi="Arial" w:cs="Arial"/>
        </w:rPr>
        <w:t>n</w:t>
      </w:r>
      <w:r w:rsidR="000742EB">
        <w:rPr>
          <w:rFonts w:ascii="Arial" w:hAnsi="Arial" w:cs="Arial"/>
        </w:rPr>
        <w:t xml:space="preserve">e 27, 2024, NERC expanded the definition for Generator Operator and Generator Owner to include certain categories of non-Bulk Electric System inverter based generating resources.  </w:t>
      </w:r>
      <w:r w:rsidR="0015761B">
        <w:rPr>
          <w:rFonts w:ascii="Arial" w:hAnsi="Arial" w:cs="Arial"/>
        </w:rPr>
        <w:t xml:space="preserve">Within the NAESB EIR, </w:t>
      </w:r>
      <w:r w:rsidR="00D933B9">
        <w:rPr>
          <w:rFonts w:ascii="Arial" w:hAnsi="Arial" w:cs="Arial"/>
        </w:rPr>
        <w:t xml:space="preserve">entities may register for an operation role, merchant role, and/or additional role. </w:t>
      </w:r>
      <w:r w:rsidR="00E02E89">
        <w:rPr>
          <w:rFonts w:ascii="Arial" w:hAnsi="Arial" w:cs="Arial"/>
        </w:rPr>
        <w:t>As identified in the WEQ-022 EIR Business Practice Standards, t</w:t>
      </w:r>
      <w:r w:rsidR="00D933B9">
        <w:rPr>
          <w:rFonts w:ascii="Arial" w:hAnsi="Arial" w:cs="Arial"/>
        </w:rPr>
        <w:t>he</w:t>
      </w:r>
      <w:r w:rsidR="00E02E89">
        <w:rPr>
          <w:rFonts w:ascii="Arial" w:hAnsi="Arial" w:cs="Arial"/>
        </w:rPr>
        <w:t xml:space="preserve"> Purchase Selling Entity is the designated role for entities performing commercial or market functions within the wholesale electric market.  The WEQ CISS has reviewed the definition for Purchase Selling Entity in WEQ-000 </w:t>
      </w:r>
      <w:r w:rsidR="002902D0">
        <w:rPr>
          <w:rFonts w:ascii="Arial" w:hAnsi="Arial" w:cs="Arial"/>
        </w:rPr>
        <w:t xml:space="preserve">Abbreviations, Acronyms, and Definition of Terms and agrees that the term is defined in such a way that it encompasses the </w:t>
      </w:r>
      <w:r w:rsidR="00F558D6">
        <w:rPr>
          <w:rFonts w:ascii="Arial" w:hAnsi="Arial" w:cs="Arial"/>
        </w:rPr>
        <w:t>needed commercial functions (purchase-selling, load serving, and generator providing)</w:t>
      </w:r>
      <w:r w:rsidR="002902D0">
        <w:rPr>
          <w:rFonts w:ascii="Arial" w:hAnsi="Arial" w:cs="Arial"/>
        </w:rPr>
        <w:t xml:space="preserve"> </w:t>
      </w:r>
      <w:r w:rsidR="00F558D6">
        <w:rPr>
          <w:rFonts w:ascii="Arial" w:hAnsi="Arial" w:cs="Arial"/>
        </w:rPr>
        <w:t xml:space="preserve">at this time.  Further, the definition clarifies that a Purchase Selling Entity may or may not own generating facilities. Additionally, entities registering in the NAESB EIR have the option to register in an Observer role. This role </w:t>
      </w:r>
      <w:r w:rsidR="00290507">
        <w:rPr>
          <w:rFonts w:ascii="Arial" w:hAnsi="Arial" w:cs="Arial"/>
        </w:rPr>
        <w:t>provides a registration mechanism for entities who do not serve in one of the identified</w:t>
      </w:r>
      <w:r w:rsidR="00F558D6">
        <w:rPr>
          <w:rFonts w:ascii="Arial" w:hAnsi="Arial" w:cs="Arial"/>
        </w:rPr>
        <w:t xml:space="preserve"> </w:t>
      </w:r>
      <w:proofErr w:type="gramStart"/>
      <w:r w:rsidR="00F558D6">
        <w:rPr>
          <w:rFonts w:ascii="Arial" w:hAnsi="Arial" w:cs="Arial"/>
        </w:rPr>
        <w:t>merchant</w:t>
      </w:r>
      <w:proofErr w:type="gramEnd"/>
      <w:r w:rsidR="00290507">
        <w:rPr>
          <w:rFonts w:ascii="Arial" w:hAnsi="Arial" w:cs="Arial"/>
        </w:rPr>
        <w:t>,</w:t>
      </w:r>
      <w:r w:rsidR="00F558D6">
        <w:rPr>
          <w:rFonts w:ascii="Arial" w:hAnsi="Arial" w:cs="Arial"/>
        </w:rPr>
        <w:t xml:space="preserve"> operations</w:t>
      </w:r>
      <w:r w:rsidR="00290507">
        <w:rPr>
          <w:rFonts w:ascii="Arial" w:hAnsi="Arial" w:cs="Arial"/>
        </w:rPr>
        <w:t>, or other defined</w:t>
      </w:r>
      <w:r w:rsidR="00F558D6">
        <w:rPr>
          <w:rFonts w:ascii="Arial" w:hAnsi="Arial" w:cs="Arial"/>
        </w:rPr>
        <w:t xml:space="preserve"> role</w:t>
      </w:r>
      <w:r w:rsidR="00290507">
        <w:rPr>
          <w:rFonts w:ascii="Arial" w:hAnsi="Arial" w:cs="Arial"/>
        </w:rPr>
        <w:t xml:space="preserve">s.  The WEQ CISS concluded that </w:t>
      </w:r>
      <w:r w:rsidR="007702DD">
        <w:rPr>
          <w:rFonts w:ascii="Arial" w:hAnsi="Arial" w:cs="Arial"/>
        </w:rPr>
        <w:t xml:space="preserve">as </w:t>
      </w:r>
      <w:r w:rsidR="00290507">
        <w:rPr>
          <w:rFonts w:ascii="Arial" w:hAnsi="Arial" w:cs="Arial"/>
        </w:rPr>
        <w:t xml:space="preserve">the NAESB EIR already accommodates the registration of </w:t>
      </w:r>
      <w:r w:rsidR="007702DD">
        <w:rPr>
          <w:rFonts w:ascii="Arial" w:hAnsi="Arial" w:cs="Arial"/>
        </w:rPr>
        <w:t>an entity that may be owning or operating an IBR, the</w:t>
      </w:r>
      <w:r w:rsidR="00290507">
        <w:rPr>
          <w:rFonts w:ascii="Arial" w:hAnsi="Arial" w:cs="Arial"/>
        </w:rPr>
        <w:t>re is not a need at this time to modify the WEQ-022 EIR Business Practice Standards</w:t>
      </w:r>
      <w:r w:rsidR="007702DD">
        <w:rPr>
          <w:rFonts w:ascii="Arial" w:hAnsi="Arial" w:cs="Arial"/>
        </w:rPr>
        <w:t>.</w:t>
      </w:r>
    </w:p>
    <w:p w14:paraId="346B831D" w14:textId="77777777" w:rsidR="00E92E3A" w:rsidRDefault="007702DD" w:rsidP="00945AFC">
      <w:pPr>
        <w:spacing w:before="60"/>
        <w:rPr>
          <w:rFonts w:ascii="Arial" w:hAnsi="Arial" w:cs="Arial"/>
        </w:rPr>
      </w:pPr>
      <w:r>
        <w:rPr>
          <w:rFonts w:ascii="Arial" w:hAnsi="Arial" w:cs="Arial"/>
        </w:rPr>
        <w:t>The WEQ CISS also made a determination that there is no need to modify any other WEQ Business Practice Standards at this time as the expansion of the NERC Rules of Procedure definitions for Generator Operator and Generator Owner to include IBRs will not impact commercial scheduling and transmission management operations for the wholesale electric industry.</w:t>
      </w:r>
      <w:r w:rsidR="00E92E3A">
        <w:rPr>
          <w:rFonts w:ascii="Arial" w:hAnsi="Arial" w:cs="Arial"/>
        </w:rPr>
        <w:t xml:space="preserve"> </w:t>
      </w:r>
    </w:p>
    <w:p w14:paraId="66C9E427" w14:textId="6C51BB99" w:rsidR="00DB3043" w:rsidRPr="009E07F2" w:rsidRDefault="00E92E3A" w:rsidP="00945AFC">
      <w:pPr>
        <w:spacing w:before="60"/>
        <w:rPr>
          <w:rFonts w:ascii="Arial" w:hAnsi="Arial" w:cs="Arial"/>
        </w:rPr>
      </w:pPr>
      <w:r>
        <w:rPr>
          <w:rFonts w:ascii="Arial" w:hAnsi="Arial" w:cs="Arial"/>
        </w:rPr>
        <w:t xml:space="preserve">This does not preclude future standard development efforts that may be needed to support NERC development of reliability requirements applicable to IBRs and/or </w:t>
      </w:r>
      <w:r w:rsidR="0046327F">
        <w:rPr>
          <w:rFonts w:ascii="Arial" w:hAnsi="Arial" w:cs="Arial"/>
        </w:rPr>
        <w:t xml:space="preserve">business practices to support consistency and interoperability in the integration and use of IBRs, including batteries and other distributed energy resources, </w:t>
      </w:r>
      <w:r w:rsidR="00945AFC">
        <w:rPr>
          <w:rFonts w:ascii="Arial" w:hAnsi="Arial" w:cs="Arial"/>
        </w:rPr>
        <w:t>by the electric industry</w:t>
      </w:r>
    </w:p>
    <w:p w14:paraId="6A42907F" w14:textId="77777777" w:rsidR="00DB3043" w:rsidRDefault="00C849B1" w:rsidP="00945AFC">
      <w:pPr>
        <w:tabs>
          <w:tab w:val="left" w:pos="1080"/>
        </w:tabs>
        <w:spacing w:before="6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7575725C" w14:textId="3B928FF4" w:rsidR="009502C3" w:rsidRDefault="009502C3" w:rsidP="00945AFC">
      <w:pPr>
        <w:tabs>
          <w:tab w:val="left" w:pos="1080"/>
        </w:tabs>
        <w:spacing w:before="60"/>
        <w:rPr>
          <w:rFonts w:ascii="Arial" w:hAnsi="Arial" w:cs="Arial"/>
          <w:bCs/>
        </w:rPr>
      </w:pPr>
      <w:r w:rsidRPr="009502C3">
        <w:rPr>
          <w:rFonts w:ascii="Arial" w:hAnsi="Arial" w:cs="Arial"/>
          <w:bCs/>
        </w:rPr>
        <w:t xml:space="preserve">See the </w:t>
      </w:r>
      <w:r w:rsidR="00E92E3A">
        <w:rPr>
          <w:rFonts w:ascii="Arial" w:hAnsi="Arial" w:cs="Arial"/>
          <w:bCs/>
        </w:rPr>
        <w:t xml:space="preserve">following </w:t>
      </w:r>
      <w:r w:rsidRPr="009502C3">
        <w:rPr>
          <w:rFonts w:ascii="Arial" w:hAnsi="Arial" w:cs="Arial"/>
          <w:bCs/>
        </w:rPr>
        <w:t xml:space="preserve">WEQ CISS </w:t>
      </w:r>
      <w:r w:rsidR="00E92E3A">
        <w:rPr>
          <w:rFonts w:ascii="Arial" w:hAnsi="Arial" w:cs="Arial"/>
          <w:bCs/>
        </w:rPr>
        <w:t>Meeting Minutes:</w:t>
      </w:r>
    </w:p>
    <w:p w14:paraId="317EE0C6" w14:textId="4170BF86" w:rsidR="00945AFC" w:rsidRDefault="00945AFC" w:rsidP="00945AFC">
      <w:pPr>
        <w:pStyle w:val="ListParagraph"/>
        <w:numPr>
          <w:ilvl w:val="0"/>
          <w:numId w:val="7"/>
        </w:numPr>
        <w:tabs>
          <w:tab w:val="left" w:pos="1080"/>
        </w:tabs>
        <w:spacing w:before="60"/>
        <w:rPr>
          <w:rFonts w:ascii="Arial" w:hAnsi="Arial" w:cs="Arial"/>
          <w:bCs/>
        </w:rPr>
      </w:pPr>
      <w:r>
        <w:rPr>
          <w:rFonts w:ascii="Arial" w:hAnsi="Arial" w:cs="Arial"/>
          <w:bCs/>
        </w:rPr>
        <w:t>February 14, 2024</w:t>
      </w:r>
      <w:r>
        <w:rPr>
          <w:rFonts w:ascii="Arial" w:hAnsi="Arial" w:cs="Arial"/>
          <w:bCs/>
        </w:rPr>
        <w:tab/>
      </w:r>
    </w:p>
    <w:p w14:paraId="50EF162F" w14:textId="2600138D" w:rsidR="00945AFC" w:rsidRDefault="00945AFC" w:rsidP="00945AFC">
      <w:pPr>
        <w:pStyle w:val="ListParagraph"/>
        <w:numPr>
          <w:ilvl w:val="0"/>
          <w:numId w:val="7"/>
        </w:numPr>
        <w:tabs>
          <w:tab w:val="left" w:pos="1080"/>
        </w:tabs>
        <w:spacing w:before="60"/>
        <w:rPr>
          <w:rFonts w:ascii="Arial" w:hAnsi="Arial" w:cs="Arial"/>
          <w:bCs/>
        </w:rPr>
      </w:pPr>
      <w:r>
        <w:rPr>
          <w:rFonts w:ascii="Arial" w:hAnsi="Arial" w:cs="Arial"/>
          <w:bCs/>
        </w:rPr>
        <w:t>March 13, 2024</w:t>
      </w:r>
    </w:p>
    <w:p w14:paraId="328ACB58" w14:textId="7DB6B417" w:rsidR="00945AFC" w:rsidRDefault="00945AFC" w:rsidP="00945AFC">
      <w:pPr>
        <w:pStyle w:val="ListParagraph"/>
        <w:numPr>
          <w:ilvl w:val="0"/>
          <w:numId w:val="7"/>
        </w:numPr>
        <w:tabs>
          <w:tab w:val="left" w:pos="1080"/>
        </w:tabs>
        <w:spacing w:before="60"/>
        <w:rPr>
          <w:rFonts w:ascii="Arial" w:hAnsi="Arial" w:cs="Arial"/>
          <w:bCs/>
        </w:rPr>
      </w:pPr>
      <w:r>
        <w:rPr>
          <w:rFonts w:ascii="Arial" w:hAnsi="Arial" w:cs="Arial"/>
          <w:bCs/>
        </w:rPr>
        <w:t>April 15, 2024</w:t>
      </w:r>
    </w:p>
    <w:p w14:paraId="0F193286" w14:textId="3F606EF5" w:rsidR="00945AFC" w:rsidRPr="00945AFC" w:rsidRDefault="00945AFC" w:rsidP="00945AFC">
      <w:pPr>
        <w:pStyle w:val="ListParagraph"/>
        <w:numPr>
          <w:ilvl w:val="0"/>
          <w:numId w:val="7"/>
        </w:numPr>
        <w:tabs>
          <w:tab w:val="left" w:pos="1080"/>
        </w:tabs>
        <w:spacing w:before="60"/>
        <w:rPr>
          <w:rFonts w:ascii="Arial" w:hAnsi="Arial" w:cs="Arial"/>
          <w:bCs/>
        </w:rPr>
      </w:pPr>
      <w:r>
        <w:rPr>
          <w:rFonts w:ascii="Arial" w:hAnsi="Arial" w:cs="Arial"/>
          <w:bCs/>
        </w:rPr>
        <w:t>July 24, 2024</w:t>
      </w:r>
    </w:p>
    <w:sectPr w:rsidR="00945AFC" w:rsidRPr="00945AFC">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F42A1" w14:textId="77777777" w:rsidR="00E54AD2" w:rsidRDefault="00E54AD2">
      <w:r>
        <w:separator/>
      </w:r>
    </w:p>
  </w:endnote>
  <w:endnote w:type="continuationSeparator" w:id="0">
    <w:p w14:paraId="07F7A79C" w14:textId="77777777" w:rsidR="00E54AD2" w:rsidRDefault="00E5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E74E" w14:textId="2359D884" w:rsidR="001F55B3" w:rsidRPr="001F55B3" w:rsidRDefault="001B34C3" w:rsidP="001F55B3">
    <w:pPr>
      <w:pStyle w:val="DefaultText"/>
      <w:jc w:val="right"/>
      <w:rPr>
        <w:rFonts w:ascii="Arial" w:hAnsi="Arial" w:cs="Arial"/>
        <w:sz w:val="20"/>
      </w:rPr>
    </w:pPr>
    <w:r>
      <w:rPr>
        <w:rFonts w:ascii="Arial" w:hAnsi="Arial" w:cs="Arial"/>
        <w:sz w:val="20"/>
      </w:rPr>
      <w:t>July 24, 2024</w:t>
    </w:r>
  </w:p>
  <w:p w14:paraId="09408F67"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D01D" w14:textId="77777777" w:rsidR="00E54AD2" w:rsidRDefault="00E54AD2">
      <w:r>
        <w:separator/>
      </w:r>
    </w:p>
  </w:footnote>
  <w:footnote w:type="continuationSeparator" w:id="0">
    <w:p w14:paraId="1359C770" w14:textId="77777777" w:rsidR="00E54AD2" w:rsidRDefault="00E5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B464" w14:textId="77777777" w:rsidR="001F55B3" w:rsidRDefault="00000000" w:rsidP="001F55B3">
    <w:pPr>
      <w:pStyle w:val="BodyText"/>
    </w:pPr>
    <w:r>
      <w:object w:dxaOrig="1440" w:dyaOrig="1440" w14:anchorId="00ADB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783337319" r:id="rId2"/>
      </w:object>
    </w:r>
  </w:p>
  <w:p w14:paraId="538019F2"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241511E5" w14:textId="77777777" w:rsidR="00440445" w:rsidRDefault="00440445"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14:paraId="13431AA7" w14:textId="6DCCDB43"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440445">
      <w:rPr>
        <w:rFonts w:ascii="Arial" w:hAnsi="Arial" w:cs="Arial"/>
        <w:b/>
        <w:sz w:val="22"/>
      </w:rPr>
      <w:tab/>
    </w:r>
    <w:r w:rsidR="00440445" w:rsidRPr="00440445">
      <w:rPr>
        <w:rFonts w:ascii="Arial" w:hAnsi="Arial" w:cs="Arial"/>
        <w:bCs/>
        <w:sz w:val="22"/>
      </w:rPr>
      <w:t>WEQ</w:t>
    </w:r>
    <w:r>
      <w:rPr>
        <w:rFonts w:ascii="Arial" w:hAnsi="Arial" w:cs="Arial"/>
        <w:b/>
        <w:sz w:val="22"/>
      </w:rPr>
      <w:t xml:space="preserve">  </w:t>
    </w:r>
  </w:p>
  <w:p w14:paraId="10623F54" w14:textId="515A077A"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440445">
      <w:rPr>
        <w:rFonts w:ascii="Arial" w:hAnsi="Arial" w:cs="Arial"/>
        <w:b/>
        <w:sz w:val="22"/>
      </w:rPr>
      <w:tab/>
    </w:r>
    <w:r w:rsidR="00440445" w:rsidRPr="00440445">
      <w:rPr>
        <w:rFonts w:ascii="Arial" w:hAnsi="Arial" w:cs="Arial"/>
        <w:bCs/>
        <w:sz w:val="22"/>
      </w:rPr>
      <w:t>Coordinate Interchange Scheduling Subcommittee</w:t>
    </w:r>
    <w:r>
      <w:rPr>
        <w:rFonts w:ascii="Arial" w:hAnsi="Arial" w:cs="Arial"/>
        <w:b/>
        <w:sz w:val="22"/>
      </w:rPr>
      <w:tab/>
    </w:r>
  </w:p>
  <w:p w14:paraId="24243802" w14:textId="195EA220"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440445" w:rsidRPr="00440445">
      <w:rPr>
        <w:rFonts w:ascii="Arial" w:hAnsi="Arial" w:cs="Arial"/>
        <w:bCs/>
        <w:sz w:val="22"/>
      </w:rPr>
      <w:t xml:space="preserve">2024 WEQ Annual Plan Item </w:t>
    </w:r>
    <w:r w:rsidR="0074340F">
      <w:rPr>
        <w:rFonts w:ascii="Arial" w:hAnsi="Arial" w:cs="Arial"/>
        <w:bCs/>
        <w:sz w:val="22"/>
      </w:rPr>
      <w:t>1.d</w:t>
    </w:r>
  </w:p>
  <w:p w14:paraId="1C856AF0" w14:textId="2AE57716" w:rsidR="001F55B3" w:rsidRDefault="001F55B3" w:rsidP="0044044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440445">
      <w:rPr>
        <w:rFonts w:ascii="Arial" w:hAnsi="Arial" w:cs="Arial"/>
        <w:b/>
        <w:sz w:val="22"/>
      </w:rPr>
      <w:tab/>
    </w:r>
    <w:r w:rsidR="0074340F" w:rsidRPr="0074340F">
      <w:rPr>
        <w:rFonts w:ascii="Arial" w:hAnsi="Arial" w:cs="Arial"/>
        <w:bCs/>
        <w:sz w:val="22"/>
      </w:rPr>
      <w:t>Develop and/or modify any necessary business practice standards, including revisions to WEQ-022 EIR Business Practice Standards, to complement and support new organization registration roles for inverter-based resources within the NERC Compliance Registry</w:t>
    </w:r>
    <w:r>
      <w:rPr>
        <w:rFonts w:ascii="Arial" w:hAnsi="Arial" w:cs="Arial"/>
        <w:b/>
        <w:sz w:val="22"/>
      </w:rPr>
      <w:tab/>
    </w:r>
  </w:p>
  <w:p w14:paraId="4564343B"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667007"/>
    <w:multiLevelType w:val="hybridMultilevel"/>
    <w:tmpl w:val="124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5425926">
    <w:abstractNumId w:val="3"/>
  </w:num>
  <w:num w:numId="2" w16cid:durableId="1928541130">
    <w:abstractNumId w:val="1"/>
  </w:num>
  <w:num w:numId="3" w16cid:durableId="1967198608">
    <w:abstractNumId w:val="6"/>
  </w:num>
  <w:num w:numId="4" w16cid:durableId="1227033489">
    <w:abstractNumId w:val="0"/>
  </w:num>
  <w:num w:numId="5" w16cid:durableId="1895579319">
    <w:abstractNumId w:val="4"/>
  </w:num>
  <w:num w:numId="6" w16cid:durableId="11075952">
    <w:abstractNumId w:val="2"/>
  </w:num>
  <w:num w:numId="7" w16cid:durableId="1745102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742EB"/>
    <w:rsid w:val="000904F5"/>
    <w:rsid w:val="0015761B"/>
    <w:rsid w:val="00193F4D"/>
    <w:rsid w:val="001A01E8"/>
    <w:rsid w:val="001B34C3"/>
    <w:rsid w:val="001F55B3"/>
    <w:rsid w:val="002902D0"/>
    <w:rsid w:val="00290507"/>
    <w:rsid w:val="00382C52"/>
    <w:rsid w:val="00440445"/>
    <w:rsid w:val="00440523"/>
    <w:rsid w:val="0046327F"/>
    <w:rsid w:val="00481507"/>
    <w:rsid w:val="004A641C"/>
    <w:rsid w:val="005D5ADF"/>
    <w:rsid w:val="00602F43"/>
    <w:rsid w:val="006B3298"/>
    <w:rsid w:val="006D7EDB"/>
    <w:rsid w:val="0074340F"/>
    <w:rsid w:val="00763716"/>
    <w:rsid w:val="007702DD"/>
    <w:rsid w:val="007E5646"/>
    <w:rsid w:val="008B5FEB"/>
    <w:rsid w:val="00945AFC"/>
    <w:rsid w:val="009502C3"/>
    <w:rsid w:val="009E07F2"/>
    <w:rsid w:val="00A506CF"/>
    <w:rsid w:val="00B8558D"/>
    <w:rsid w:val="00BB61DF"/>
    <w:rsid w:val="00C849B1"/>
    <w:rsid w:val="00D07C20"/>
    <w:rsid w:val="00D933B9"/>
    <w:rsid w:val="00DB3043"/>
    <w:rsid w:val="00E02E89"/>
    <w:rsid w:val="00E54AD2"/>
    <w:rsid w:val="00E92E3A"/>
    <w:rsid w:val="00F558D6"/>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9A06"/>
  <w15:docId w15:val="{7B546140-01B4-4F4F-9549-79BE7D4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Caroline Trum</cp:lastModifiedBy>
  <cp:revision>2</cp:revision>
  <cp:lastPrinted>2003-09-05T13:18:00Z</cp:lastPrinted>
  <dcterms:created xsi:type="dcterms:W3CDTF">2024-07-24T19:42:00Z</dcterms:created>
  <dcterms:modified xsi:type="dcterms:W3CDTF">2024-07-24T19:42:00Z</dcterms:modified>
</cp:coreProperties>
</file>