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08E64051"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r w:rsidR="00F140C6">
              <w:rPr>
                <w:rFonts w:ascii="Times New Roman" w:hAnsi="Times New Roman"/>
                <w:b/>
                <w:sz w:val="18"/>
                <w:szCs w:val="18"/>
              </w:rPr>
              <w:t>6</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484D24">
              <w:rPr>
                <w:rFonts w:ascii="Times New Roman" w:hAnsi="Times New Roman"/>
                <w:b/>
                <w:sz w:val="18"/>
                <w:szCs w:val="18"/>
              </w:rPr>
              <w:t>Adopted by the Board of Directors</w:t>
            </w:r>
            <w:r w:rsidR="00DB4E45">
              <w:rPr>
                <w:rFonts w:ascii="Times New Roman" w:hAnsi="Times New Roman"/>
                <w:b/>
                <w:sz w:val="18"/>
                <w:szCs w:val="18"/>
              </w:rPr>
              <w:t xml:space="preserve"> on </w:t>
            </w:r>
            <w:r w:rsidR="00484D24">
              <w:rPr>
                <w:rFonts w:ascii="Times New Roman" w:hAnsi="Times New Roman"/>
                <w:b/>
                <w:sz w:val="18"/>
                <w:szCs w:val="18"/>
              </w:rPr>
              <w:t>December 11</w:t>
            </w:r>
            <w:r w:rsidR="00DB4E45">
              <w:rPr>
                <w:rFonts w:ascii="Times New Roman" w:hAnsi="Times New Roman"/>
                <w:b/>
                <w:sz w:val="18"/>
                <w:szCs w:val="18"/>
              </w:rPr>
              <w:t>, 2025</w:t>
            </w:r>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40F5B0AB"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134523" w:rsidRPr="00000A28" w14:paraId="21A420AA" w14:textId="77777777" w:rsidTr="009412E8">
        <w:tc>
          <w:tcPr>
            <w:tcW w:w="360" w:type="dxa"/>
          </w:tcPr>
          <w:p w14:paraId="67510849" w14:textId="77777777" w:rsidR="00134523" w:rsidRPr="00000A28" w:rsidRDefault="00134523" w:rsidP="00DF6A90">
            <w:pPr>
              <w:pStyle w:val="TableText"/>
              <w:widowControl w:val="0"/>
              <w:spacing w:before="40" w:after="40"/>
              <w:ind w:left="144"/>
              <w:rPr>
                <w:rFonts w:ascii="Times New Roman" w:hAnsi="Times New Roman"/>
                <w:color w:val="auto"/>
                <w:sz w:val="18"/>
                <w:szCs w:val="18"/>
              </w:rPr>
            </w:pPr>
          </w:p>
        </w:tc>
        <w:tc>
          <w:tcPr>
            <w:tcW w:w="359" w:type="dxa"/>
          </w:tcPr>
          <w:p w14:paraId="2AB7B429" w14:textId="192EB108" w:rsidR="00134523" w:rsidRDefault="0013452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133B68F5" w14:textId="116AD88A"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sidRPr="00134523">
              <w:rPr>
                <w:rFonts w:ascii="Times New Roman" w:hAnsi="Times New Roman"/>
                <w:sz w:val="18"/>
                <w:szCs w:val="18"/>
              </w:rPr>
              <w:t xml:space="preserve">Consider and develop business practice standards for cybersecurity vulnerability disclosures, such as software supply chain risks, including those to support industry implementation of FERC </w:t>
            </w:r>
            <w:r w:rsidR="00012065">
              <w:rPr>
                <w:rFonts w:ascii="Times New Roman" w:hAnsi="Times New Roman"/>
                <w:sz w:val="18"/>
                <w:szCs w:val="18"/>
              </w:rPr>
              <w:t>Order No. 912</w:t>
            </w:r>
            <w:r w:rsidR="003F6B24">
              <w:rPr>
                <w:rFonts w:ascii="Times New Roman" w:hAnsi="Times New Roman"/>
                <w:sz w:val="18"/>
                <w:szCs w:val="18"/>
              </w:rPr>
              <w:t xml:space="preserve"> </w:t>
            </w:r>
            <w:r w:rsidRPr="00134523">
              <w:rPr>
                <w:rFonts w:ascii="Times New Roman" w:hAnsi="Times New Roman"/>
                <w:sz w:val="18"/>
                <w:szCs w:val="18"/>
              </w:rPr>
              <w:t>in Docket Nos. RM24-4-000 and RM20-19-000</w:t>
            </w:r>
          </w:p>
          <w:p w14:paraId="648741FD" w14:textId="53955824"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33FB707C" w14:textId="3E3C10C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134523">
              <w:rPr>
                <w:rFonts w:ascii="Times New Roman" w:hAnsi="Times New Roman"/>
                <w:color w:val="auto"/>
                <w:sz w:val="18"/>
                <w:szCs w:val="18"/>
                <w:vertAlign w:val="superscript"/>
              </w:rPr>
              <w:t>rd</w:t>
            </w:r>
            <w:r>
              <w:rPr>
                <w:rFonts w:ascii="Times New Roman" w:hAnsi="Times New Roman"/>
                <w:color w:val="auto"/>
                <w:sz w:val="18"/>
                <w:szCs w:val="18"/>
              </w:rPr>
              <w:t xml:space="preserve"> Q, 2026</w:t>
            </w:r>
          </w:p>
        </w:tc>
        <w:tc>
          <w:tcPr>
            <w:tcW w:w="1637" w:type="dxa"/>
          </w:tcPr>
          <w:p w14:paraId="50171C43" w14:textId="5A5AB08E"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 and Cybersecurity Subcommittee</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134523" w:rsidRPr="00000A28" w14:paraId="21F2FD11" w14:textId="77777777" w:rsidTr="009412E8">
        <w:trPr>
          <w:trHeight w:val="503"/>
        </w:trPr>
        <w:tc>
          <w:tcPr>
            <w:tcW w:w="360" w:type="dxa"/>
          </w:tcPr>
          <w:p w14:paraId="35032C77" w14:textId="77777777" w:rsidR="00134523" w:rsidRPr="00000A28" w:rsidRDefault="00134523" w:rsidP="00E31F29">
            <w:pPr>
              <w:pStyle w:val="TableText"/>
              <w:widowControl w:val="0"/>
              <w:spacing w:before="40" w:after="40"/>
              <w:ind w:left="144"/>
              <w:rPr>
                <w:rFonts w:ascii="Times New Roman" w:hAnsi="Times New Roman"/>
                <w:color w:val="auto"/>
                <w:sz w:val="18"/>
                <w:szCs w:val="18"/>
              </w:rPr>
            </w:pPr>
          </w:p>
        </w:tc>
        <w:tc>
          <w:tcPr>
            <w:tcW w:w="359" w:type="dxa"/>
          </w:tcPr>
          <w:p w14:paraId="55CDA2AD" w14:textId="4E32CDB9" w:rsidR="00134523" w:rsidRDefault="00134523" w:rsidP="00E31F29">
            <w:pPr>
              <w:widowControl w:val="0"/>
              <w:spacing w:before="40" w:after="40"/>
              <w:ind w:left="144"/>
              <w:rPr>
                <w:sz w:val="18"/>
                <w:szCs w:val="18"/>
              </w:rPr>
            </w:pPr>
            <w:r>
              <w:rPr>
                <w:sz w:val="18"/>
                <w:szCs w:val="18"/>
              </w:rPr>
              <w:t>a)</w:t>
            </w:r>
          </w:p>
        </w:tc>
        <w:tc>
          <w:tcPr>
            <w:tcW w:w="6106" w:type="dxa"/>
            <w:gridSpan w:val="2"/>
          </w:tcPr>
          <w:p w14:paraId="76325634" w14:textId="527F0F74" w:rsidR="00134523" w:rsidRDefault="00134523" w:rsidP="00E31F29">
            <w:pPr>
              <w:widowControl w:val="0"/>
              <w:spacing w:before="40" w:after="40"/>
              <w:ind w:left="144"/>
              <w:rPr>
                <w:sz w:val="18"/>
                <w:szCs w:val="18"/>
              </w:rPr>
            </w:pPr>
            <w:r w:rsidRPr="00134523">
              <w:rPr>
                <w:sz w:val="18"/>
                <w:szCs w:val="18"/>
              </w:rPr>
              <w:t>Develop and/or modify the WEQ Business Practice Standards, including WEQ-001, WEQ-004, WEQ-008, and WEQ-023, and the NAESB Electronic Tagging Functional Specification, as needed, to support greater consistency in rounding methodologies for integrated hourly value calculations</w:t>
            </w:r>
          </w:p>
          <w:p w14:paraId="4CE6B1B2" w14:textId="791D7827" w:rsidR="00134523" w:rsidRDefault="00134523" w:rsidP="00E31F29">
            <w:pPr>
              <w:widowControl w:val="0"/>
              <w:spacing w:before="40" w:after="40"/>
              <w:ind w:left="144"/>
              <w:rPr>
                <w:sz w:val="18"/>
                <w:szCs w:val="18"/>
              </w:rPr>
            </w:pPr>
            <w:r>
              <w:rPr>
                <w:sz w:val="18"/>
                <w:szCs w:val="18"/>
              </w:rPr>
              <w:t>Status: Not Started</w:t>
            </w:r>
          </w:p>
        </w:tc>
        <w:tc>
          <w:tcPr>
            <w:tcW w:w="1168" w:type="dxa"/>
          </w:tcPr>
          <w:p w14:paraId="493BD441" w14:textId="0A46B2F8" w:rsidR="00134523" w:rsidRDefault="00012065"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p>
        </w:tc>
        <w:tc>
          <w:tcPr>
            <w:tcW w:w="1637" w:type="dxa"/>
          </w:tcPr>
          <w:p w14:paraId="174A8C3F" w14:textId="5B02619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 BPS, and OASIS Subcommittee</w:t>
            </w:r>
          </w:p>
        </w:tc>
      </w:tr>
      <w:tr w:rsidR="0070345A" w:rsidRPr="00000A28" w14:paraId="7804E1E8" w14:textId="77777777" w:rsidTr="009412E8">
        <w:trPr>
          <w:trHeight w:val="503"/>
        </w:trPr>
        <w:tc>
          <w:tcPr>
            <w:tcW w:w="360" w:type="dxa"/>
          </w:tcPr>
          <w:p w14:paraId="78677604" w14:textId="77777777" w:rsidR="0070345A" w:rsidRPr="00000A28" w:rsidRDefault="0070345A" w:rsidP="00E31F29">
            <w:pPr>
              <w:pStyle w:val="TableText"/>
              <w:widowControl w:val="0"/>
              <w:spacing w:before="40" w:after="40"/>
              <w:ind w:left="144"/>
              <w:rPr>
                <w:rFonts w:ascii="Times New Roman" w:hAnsi="Times New Roman"/>
                <w:color w:val="auto"/>
                <w:sz w:val="18"/>
                <w:szCs w:val="18"/>
              </w:rPr>
            </w:pPr>
          </w:p>
        </w:tc>
        <w:tc>
          <w:tcPr>
            <w:tcW w:w="359" w:type="dxa"/>
          </w:tcPr>
          <w:p w14:paraId="3427617A" w14:textId="596400AE" w:rsidR="0070345A" w:rsidRDefault="0070345A" w:rsidP="00E31F29">
            <w:pPr>
              <w:widowControl w:val="0"/>
              <w:spacing w:before="40" w:after="40"/>
              <w:ind w:left="144"/>
              <w:rPr>
                <w:sz w:val="18"/>
                <w:szCs w:val="18"/>
              </w:rPr>
            </w:pPr>
            <w:r>
              <w:rPr>
                <w:sz w:val="18"/>
                <w:szCs w:val="18"/>
              </w:rPr>
              <w:t>b)</w:t>
            </w:r>
          </w:p>
        </w:tc>
        <w:tc>
          <w:tcPr>
            <w:tcW w:w="6106" w:type="dxa"/>
            <w:gridSpan w:val="2"/>
          </w:tcPr>
          <w:p w14:paraId="0464EA60" w14:textId="77777777" w:rsidR="0070345A" w:rsidRDefault="0070345A" w:rsidP="00E31F29">
            <w:pPr>
              <w:widowControl w:val="0"/>
              <w:spacing w:before="40" w:after="40"/>
              <w:ind w:left="144"/>
              <w:rPr>
                <w:sz w:val="18"/>
                <w:szCs w:val="18"/>
              </w:rPr>
            </w:pPr>
            <w:r>
              <w:rPr>
                <w:sz w:val="18"/>
                <w:szCs w:val="18"/>
              </w:rPr>
              <w:t>Review the WEQ OASIS Business Practice Standards for needed modifications based on implementation and operational experiences since the adoption of WEQ Version 004</w:t>
            </w:r>
          </w:p>
          <w:p w14:paraId="65D3600E" w14:textId="663CF817" w:rsidR="0070345A" w:rsidRPr="00134523" w:rsidRDefault="0070345A" w:rsidP="00E31F29">
            <w:pPr>
              <w:widowControl w:val="0"/>
              <w:spacing w:before="40" w:after="40"/>
              <w:ind w:left="144"/>
              <w:rPr>
                <w:sz w:val="18"/>
                <w:szCs w:val="18"/>
              </w:rPr>
            </w:pPr>
            <w:r>
              <w:rPr>
                <w:sz w:val="18"/>
                <w:szCs w:val="18"/>
              </w:rPr>
              <w:t>Status: Not Started</w:t>
            </w:r>
          </w:p>
        </w:tc>
        <w:tc>
          <w:tcPr>
            <w:tcW w:w="1168" w:type="dxa"/>
          </w:tcPr>
          <w:p w14:paraId="7918F803" w14:textId="6DD3800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p>
        </w:tc>
        <w:tc>
          <w:tcPr>
            <w:tcW w:w="1637" w:type="dxa"/>
          </w:tcPr>
          <w:p w14:paraId="4DEF7FC1" w14:textId="6B39E1E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OASIS</w:t>
            </w:r>
            <w:r w:rsidR="003F6B24">
              <w:rPr>
                <w:rFonts w:ascii="Times New Roman" w:hAnsi="Times New Roman"/>
                <w:color w:val="auto"/>
                <w:sz w:val="18"/>
                <w:szCs w:val="18"/>
              </w:rPr>
              <w:t xml:space="preserve"> Subcommittee</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18AC59B2"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4"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1"/>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6032A879"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203CDE6E" w14:textId="77777777" w:rsidR="002C55F4" w:rsidRPr="00000A28" w:rsidRDefault="007B232D" w:rsidP="00B24184">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4"/>
      <w:tr w:rsidR="007F0ACD" w:rsidRPr="00000A28" w14:paraId="4BD9696D" w14:textId="77777777" w:rsidTr="0035094F">
        <w:trPr>
          <w:trHeight w:val="237"/>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3"/>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lastRenderedPageBreak/>
              <w:t xml:space="preserve">Status: </w:t>
            </w:r>
            <w:r w:rsidR="00916784">
              <w:rPr>
                <w:sz w:val="18"/>
                <w:szCs w:val="18"/>
              </w:rPr>
              <w:t>Not Started</w:t>
            </w:r>
          </w:p>
        </w:tc>
        <w:tc>
          <w:tcPr>
            <w:tcW w:w="1168" w:type="dxa"/>
          </w:tcPr>
          <w:p w14:paraId="5D3B1836" w14:textId="741AE8C6"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lastRenderedPageBreak/>
              <w:t>3</w:t>
            </w:r>
            <w:r w:rsidR="00731EEA" w:rsidRPr="00731EEA">
              <w:rPr>
                <w:rFonts w:ascii="Times New Roman" w:hAnsi="Times New Roman"/>
                <w:color w:val="auto"/>
                <w:sz w:val="18"/>
                <w:szCs w:val="18"/>
                <w:vertAlign w:val="superscript"/>
              </w:rPr>
              <w:t>rd</w:t>
            </w:r>
            <w:r w:rsidR="00731EEA">
              <w:rPr>
                <w:rFonts w:ascii="Times New Roman" w:hAnsi="Times New Roman"/>
                <w:color w:val="auto"/>
                <w:sz w:val="18"/>
                <w:szCs w:val="18"/>
              </w:rPr>
              <w:t xml:space="preserve"> </w:t>
            </w:r>
            <w:r>
              <w:rPr>
                <w:rFonts w:ascii="Times New Roman" w:hAnsi="Times New Roman"/>
                <w:color w:val="auto"/>
                <w:sz w:val="18"/>
                <w:szCs w:val="18"/>
              </w:rPr>
              <w:t xml:space="preserve">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3F1CB85C" w14:textId="77777777" w:rsidR="007F0ACD" w:rsidRPr="00000A28" w:rsidRDefault="007F0ACD" w:rsidP="00B24184">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5EB12F52" w:rsidR="004C2607" w:rsidRPr="004C2607" w:rsidRDefault="004C2607" w:rsidP="00827E42">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10A01D09"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6986AB3F"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827E42">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5C9424" w:rsidR="00D837E1" w:rsidRDefault="00FD5D77" w:rsidP="006D1D30">
            <w:pPr>
              <w:widowControl w:val="0"/>
              <w:spacing w:before="40" w:after="40"/>
              <w:ind w:left="144"/>
              <w:rPr>
                <w:sz w:val="18"/>
                <w:szCs w:val="18"/>
              </w:rPr>
            </w:pPr>
            <w:r>
              <w:rPr>
                <w:sz w:val="18"/>
                <w:szCs w:val="18"/>
              </w:rPr>
              <w:t>a</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6E648CF1"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68" w:type="dxa"/>
          </w:tcPr>
          <w:p w14:paraId="00FA49BC" w14:textId="2EDAF681"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0AAC10DB" w:rsidR="00C95A1C" w:rsidRDefault="00FD5D77" w:rsidP="006D1D30">
            <w:pPr>
              <w:widowControl w:val="0"/>
              <w:spacing w:before="40" w:after="40"/>
              <w:ind w:left="144"/>
              <w:rPr>
                <w:sz w:val="18"/>
                <w:szCs w:val="18"/>
              </w:rPr>
            </w:pPr>
            <w:r>
              <w:rPr>
                <w:sz w:val="18"/>
                <w:szCs w:val="18"/>
              </w:rPr>
              <w:t>b</w:t>
            </w:r>
            <w:r w:rsidR="00C95A1C">
              <w:rPr>
                <w:sz w:val="18"/>
                <w:szCs w:val="18"/>
              </w:rPr>
              <w:t>)</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171924D2"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7F11350B" w14:textId="227FD976"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012065">
              <w:rPr>
                <w:rFonts w:ascii="Times New Roman" w:hAnsi="Times New Roman"/>
                <w:sz w:val="18"/>
                <w:szCs w:val="18"/>
              </w:rPr>
              <w:t>6</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827E42">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FD5D77"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FD5D77" w:rsidRDefault="00FD5D77" w:rsidP="009412E8">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FD5D77" w:rsidRPr="00FD5D77" w:rsidRDefault="00FD5D77" w:rsidP="00FD5D77">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FD5D77"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FD5D77" w:rsidRDefault="00FD5D77" w:rsidP="009412E8">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FD5D77" w:rsidRPr="00FD5D77" w:rsidRDefault="00FD5D77" w:rsidP="00FD5D77">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9412E8" w:rsidRPr="00000A28" w14:paraId="08BF5B8C" w14:textId="77777777" w:rsidTr="0035094F">
        <w:tblPrEx>
          <w:tblBorders>
            <w:bottom w:val="single" w:sz="4" w:space="0" w:color="auto"/>
          </w:tblBorders>
        </w:tblPrEx>
        <w:trPr>
          <w:trHeight w:val="399"/>
        </w:trPr>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w:t>
            </w:r>
            <w:r w:rsidR="00073197">
              <w:rPr>
                <w:rFonts w:ascii="Times New Roman" w:hAnsi="Times New Roman"/>
                <w:sz w:val="18"/>
                <w:szCs w:val="18"/>
              </w:rPr>
              <w:t xml:space="preserve">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DD6CF44" w14:textId="3FB7DEDB" w:rsidR="009412E8" w:rsidRDefault="007F0D4D" w:rsidP="00EF4F31">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Upon a request or as directed by NAESB Board or a relevant jurisdictional entity, consider developing</w:t>
            </w:r>
            <w:r w:rsidR="00EF4F31">
              <w:rPr>
                <w:rFonts w:ascii="Times New Roman" w:hAnsi="Times New Roman"/>
                <w:sz w:val="18"/>
                <w:szCs w:val="18"/>
              </w:rPr>
              <w:t xml:space="preserve"> </w:t>
            </w:r>
            <w:r w:rsidRPr="007F0D4D">
              <w:rPr>
                <w:rFonts w:ascii="Times New Roman" w:hAnsi="Times New Roman"/>
                <w:sz w:val="18"/>
                <w:szCs w:val="18"/>
              </w:rPr>
              <w:t>and/or modifying business practice standards that reflect best practices that will provide stronger operating</w:t>
            </w:r>
            <w:r w:rsidR="00EF4F31">
              <w:rPr>
                <w:rFonts w:ascii="Times New Roman" w:hAnsi="Times New Roman"/>
                <w:sz w:val="18"/>
                <w:szCs w:val="18"/>
              </w:rPr>
              <w:t xml:space="preserve"> </w:t>
            </w:r>
            <w:r w:rsidRPr="007F0D4D">
              <w:rPr>
                <w:rFonts w:ascii="Times New Roman" w:hAnsi="Times New Roman"/>
                <w:sz w:val="18"/>
                <w:szCs w:val="18"/>
              </w:rPr>
              <w:t>reliability from</w:t>
            </w:r>
            <w:r w:rsidR="00EF4F31">
              <w:rPr>
                <w:rFonts w:ascii="Times New Roman" w:hAnsi="Times New Roman"/>
                <w:sz w:val="18"/>
                <w:szCs w:val="18"/>
              </w:rPr>
              <w:t xml:space="preserve"> </w:t>
            </w:r>
            <w:r w:rsidRPr="007F0D4D">
              <w:rPr>
                <w:rFonts w:ascii="Times New Roman" w:hAnsi="Times New Roman"/>
                <w:sz w:val="18"/>
                <w:szCs w:val="18"/>
              </w:rPr>
              <w:t>production/supply/transport during extreme weather conditions and more clear</w:t>
            </w:r>
            <w:r w:rsidR="00EF4F31">
              <w:rPr>
                <w:rFonts w:ascii="Times New Roman" w:hAnsi="Times New Roman"/>
                <w:sz w:val="18"/>
                <w:szCs w:val="18"/>
              </w:rPr>
              <w:t xml:space="preserve"> </w:t>
            </w:r>
            <w:r w:rsidRPr="007F0D4D">
              <w:rPr>
                <w:rFonts w:ascii="Times New Roman" w:hAnsi="Times New Roman"/>
                <w:sz w:val="18"/>
                <w:szCs w:val="18"/>
              </w:rPr>
              <w:t>communications and business processes around force majeure declarations during critical operating</w:t>
            </w:r>
            <w:r w:rsidR="00EF4F31">
              <w:rPr>
                <w:rFonts w:ascii="Times New Roman" w:hAnsi="Times New Roman"/>
                <w:sz w:val="18"/>
                <w:szCs w:val="18"/>
              </w:rPr>
              <w:t xml:space="preserve"> </w:t>
            </w:r>
            <w:r w:rsidRPr="007F0D4D">
              <w:rPr>
                <w:rFonts w:ascii="Times New Roman" w:hAnsi="Times New Roman"/>
                <w:sz w:val="18"/>
                <w:szCs w:val="18"/>
              </w:rPr>
              <w:t>periods</w:t>
            </w:r>
          </w:p>
        </w:tc>
      </w:tr>
    </w:tbl>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5663DCFA"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636A82">
        <w:rPr>
          <w:b/>
          <w:sz w:val="18"/>
          <w:szCs w:val="18"/>
        </w:rPr>
        <w:t>6</w:t>
      </w:r>
      <w:r w:rsidR="00BC3827">
        <w:rPr>
          <w:b/>
          <w:sz w:val="18"/>
          <w:szCs w:val="18"/>
        </w:rPr>
        <w:t xml:space="preserve"> </w:t>
      </w:r>
      <w:r w:rsidR="002C55F4">
        <w:rPr>
          <w:b/>
          <w:sz w:val="18"/>
          <w:szCs w:val="18"/>
        </w:rPr>
        <w:t>WEQ EC and Subcommittee Leadership</w:t>
      </w:r>
      <w:r w:rsidR="002C55F4">
        <w:rPr>
          <w:sz w:val="18"/>
          <w:szCs w:val="18"/>
        </w:rPr>
        <w:t>:</w:t>
      </w:r>
    </w:p>
    <w:p w14:paraId="73DACE69" w14:textId="5D791D26"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w:t>
      </w:r>
      <w:r w:rsidR="00DB4E45">
        <w:rPr>
          <w:sz w:val="18"/>
          <w:szCs w:val="18"/>
        </w:rPr>
        <w:t>and John Fitzgerald (Vice Chair)</w:t>
      </w:r>
    </w:p>
    <w:p w14:paraId="2C2D7739" w14:textId="169E1762" w:rsidR="002C55F4" w:rsidRDefault="002C55F4" w:rsidP="0031105E">
      <w:pPr>
        <w:pStyle w:val="BodyText"/>
        <w:spacing w:before="40" w:after="40"/>
        <w:ind w:left="187"/>
        <w:rPr>
          <w:sz w:val="18"/>
          <w:szCs w:val="18"/>
        </w:rPr>
      </w:pPr>
      <w:r>
        <w:rPr>
          <w:sz w:val="18"/>
          <w:szCs w:val="18"/>
        </w:rPr>
        <w:t xml:space="preserve">Standards Review Subcommittee (SRS):  </w:t>
      </w:r>
      <w:r w:rsidR="00F140C6">
        <w:rPr>
          <w:sz w:val="18"/>
          <w:szCs w:val="18"/>
        </w:rPr>
        <w:t>Chris Norton</w:t>
      </w:r>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35ECC83F" w:rsidR="002C55F4" w:rsidRDefault="002C55F4" w:rsidP="0031105E">
      <w:pPr>
        <w:pStyle w:val="BodyText"/>
        <w:spacing w:before="40" w:after="40"/>
        <w:ind w:left="187"/>
        <w:rPr>
          <w:sz w:val="18"/>
          <w:szCs w:val="18"/>
        </w:rPr>
      </w:pPr>
      <w:r>
        <w:rPr>
          <w:sz w:val="18"/>
          <w:szCs w:val="18"/>
        </w:rPr>
        <w:t xml:space="preserve">Open Access Same Time Information System (OASIS) Subcommittee: </w:t>
      </w:r>
      <w:r w:rsidR="007A4AA0">
        <w:rPr>
          <w:sz w:val="18"/>
          <w:szCs w:val="18"/>
        </w:rPr>
        <w:t>Rob Arbitelle, Matt Schingle, J.T. Wood</w:t>
      </w:r>
      <w:r w:rsidR="001434F0">
        <w:rPr>
          <w:sz w:val="18"/>
          <w:szCs w:val="18"/>
        </w:rPr>
        <w:t xml:space="preserve"> and Mike Steigerwald</w:t>
      </w:r>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983C" w14:textId="77777777" w:rsidR="00665A51" w:rsidRDefault="00665A51">
      <w:r>
        <w:separator/>
      </w:r>
    </w:p>
  </w:endnote>
  <w:endnote w:type="continuationSeparator" w:id="0">
    <w:p w14:paraId="376BA56A" w14:textId="77777777" w:rsidR="00665A51" w:rsidRDefault="00665A51">
      <w:r>
        <w:continuationSeparator/>
      </w:r>
    </w:p>
  </w:endnote>
  <w:endnote w:id="1">
    <w:p w14:paraId="765E4ADE" w14:textId="6B17F736"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202</w:t>
      </w:r>
      <w:r w:rsidR="00636A82">
        <w:rPr>
          <w:b/>
          <w:sz w:val="18"/>
          <w:szCs w:val="18"/>
        </w:rPr>
        <w:t>6</w:t>
      </w:r>
      <w:r w:rsidR="000719CC">
        <w:rPr>
          <w:b/>
          <w:sz w:val="18"/>
          <w:szCs w:val="18"/>
        </w:rPr>
        <w:t xml:space="preserve">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367B2F86" w:rsidR="00132086" w:rsidRPr="00BB5F70" w:rsidRDefault="003B5AE4" w:rsidP="00D15518">
    <w:pPr>
      <w:pStyle w:val="Footer"/>
      <w:pBdr>
        <w:top w:val="single" w:sz="4" w:space="1" w:color="auto"/>
      </w:pBdr>
      <w:jc w:val="right"/>
      <w:rPr>
        <w:color w:val="00B050"/>
        <w:sz w:val="18"/>
        <w:szCs w:val="18"/>
      </w:rPr>
    </w:pPr>
    <w:r>
      <w:rPr>
        <w:sz w:val="18"/>
        <w:szCs w:val="18"/>
      </w:rPr>
      <w:t>202</w:t>
    </w:r>
    <w:r w:rsidR="00F140C6">
      <w:rPr>
        <w:sz w:val="18"/>
        <w:szCs w:val="18"/>
      </w:rPr>
      <w:t>6</w:t>
    </w:r>
    <w:r w:rsidR="00132086">
      <w:rPr>
        <w:sz w:val="18"/>
        <w:szCs w:val="18"/>
      </w:rPr>
      <w:t xml:space="preserve"> WEQ Annual Plan </w:t>
    </w:r>
    <w:r w:rsidR="00484D24">
      <w:rPr>
        <w:sz w:val="18"/>
        <w:szCs w:val="18"/>
      </w:rPr>
      <w:t xml:space="preserve">Adopted by the Board of Directors </w:t>
    </w:r>
    <w:r w:rsidR="00DB4E45">
      <w:rPr>
        <w:sz w:val="18"/>
        <w:szCs w:val="18"/>
      </w:rPr>
      <w:t xml:space="preserve">on </w:t>
    </w:r>
    <w:r w:rsidR="00484D24">
      <w:rPr>
        <w:sz w:val="18"/>
        <w:szCs w:val="18"/>
      </w:rPr>
      <w:t>December 11</w:t>
    </w:r>
    <w:r w:rsidR="00DB4E45">
      <w:rPr>
        <w:sz w:val="18"/>
        <w:szCs w:val="18"/>
      </w:rPr>
      <w:t>, 2025</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A49E" w14:textId="77777777" w:rsidR="00665A51" w:rsidRDefault="00665A51">
      <w:r>
        <w:separator/>
      </w:r>
    </w:p>
  </w:footnote>
  <w:footnote w:type="continuationSeparator" w:id="0">
    <w:p w14:paraId="4BA06455" w14:textId="77777777" w:rsidR="00665A51" w:rsidRDefault="00665A51">
      <w:r>
        <w:continuationSeparator/>
      </w:r>
    </w:p>
  </w:footnote>
  <w:footnote w:id="1">
    <w:p w14:paraId="076695D4" w14:textId="0BDF5E85" w:rsidR="00132086" w:rsidRPr="00FB11FA" w:rsidRDefault="00132086"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sidR="00B24184">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132086" w:rsidRPr="004E187A" w:rsidRDefault="00132086"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132086" w:rsidRPr="00B6700A" w:rsidRDefault="00132086"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r>
      <w:rPr>
        <w:lang w:val="fr-FR"/>
      </w:rPr>
      <w:t>Phone: (713) 356-0060, Fax:  (713) 356-0067, E-mail: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454440650">
    <w:abstractNumId w:val="0"/>
  </w:num>
  <w:num w:numId="2" w16cid:durableId="1992323780">
    <w:abstractNumId w:val="23"/>
  </w:num>
  <w:num w:numId="3" w16cid:durableId="1489517025">
    <w:abstractNumId w:val="34"/>
  </w:num>
  <w:num w:numId="4" w16cid:durableId="1654530909">
    <w:abstractNumId w:val="31"/>
  </w:num>
  <w:num w:numId="5" w16cid:durableId="759907909">
    <w:abstractNumId w:val="35"/>
  </w:num>
  <w:num w:numId="6" w16cid:durableId="1157914047">
    <w:abstractNumId w:val="22"/>
  </w:num>
  <w:num w:numId="7" w16cid:durableId="380331225">
    <w:abstractNumId w:val="24"/>
  </w:num>
  <w:num w:numId="8" w16cid:durableId="1577395088">
    <w:abstractNumId w:val="21"/>
  </w:num>
  <w:num w:numId="9" w16cid:durableId="1921060374">
    <w:abstractNumId w:val="6"/>
  </w:num>
  <w:num w:numId="10" w16cid:durableId="1723869384">
    <w:abstractNumId w:val="29"/>
  </w:num>
  <w:num w:numId="11" w16cid:durableId="762842899">
    <w:abstractNumId w:val="16"/>
  </w:num>
  <w:num w:numId="12" w16cid:durableId="461339515">
    <w:abstractNumId w:val="3"/>
  </w:num>
  <w:num w:numId="13" w16cid:durableId="1904828249">
    <w:abstractNumId w:val="32"/>
  </w:num>
  <w:num w:numId="14" w16cid:durableId="758598826">
    <w:abstractNumId w:val="19"/>
  </w:num>
  <w:num w:numId="15" w16cid:durableId="1950771328">
    <w:abstractNumId w:val="13"/>
  </w:num>
  <w:num w:numId="16" w16cid:durableId="1668631759">
    <w:abstractNumId w:val="9"/>
  </w:num>
  <w:num w:numId="17" w16cid:durableId="103499430">
    <w:abstractNumId w:val="20"/>
  </w:num>
  <w:num w:numId="18" w16cid:durableId="61293599">
    <w:abstractNumId w:val="18"/>
  </w:num>
  <w:num w:numId="19" w16cid:durableId="2146585843">
    <w:abstractNumId w:val="1"/>
  </w:num>
  <w:num w:numId="20" w16cid:durableId="1832988404">
    <w:abstractNumId w:val="25"/>
  </w:num>
  <w:num w:numId="21" w16cid:durableId="1064646501">
    <w:abstractNumId w:val="26"/>
  </w:num>
  <w:num w:numId="22" w16cid:durableId="1421369917">
    <w:abstractNumId w:val="5"/>
  </w:num>
  <w:num w:numId="23" w16cid:durableId="829633340">
    <w:abstractNumId w:val="12"/>
  </w:num>
  <w:num w:numId="24" w16cid:durableId="375156276">
    <w:abstractNumId w:val="15"/>
  </w:num>
  <w:num w:numId="25" w16cid:durableId="257760765">
    <w:abstractNumId w:val="14"/>
  </w:num>
  <w:num w:numId="26" w16cid:durableId="403725917">
    <w:abstractNumId w:val="8"/>
  </w:num>
  <w:num w:numId="27" w16cid:durableId="2054189091">
    <w:abstractNumId w:val="36"/>
  </w:num>
  <w:num w:numId="28" w16cid:durableId="682626950">
    <w:abstractNumId w:val="2"/>
  </w:num>
  <w:num w:numId="29" w16cid:durableId="1288439131">
    <w:abstractNumId w:val="7"/>
  </w:num>
  <w:num w:numId="30" w16cid:durableId="1947301869">
    <w:abstractNumId w:val="10"/>
  </w:num>
  <w:num w:numId="31" w16cid:durableId="1062674186">
    <w:abstractNumId w:val="30"/>
  </w:num>
  <w:num w:numId="32" w16cid:durableId="493961273">
    <w:abstractNumId w:val="37"/>
  </w:num>
  <w:num w:numId="33" w16cid:durableId="790823369">
    <w:abstractNumId w:val="4"/>
  </w:num>
  <w:num w:numId="34" w16cid:durableId="1733576642">
    <w:abstractNumId w:val="27"/>
  </w:num>
  <w:num w:numId="35" w16cid:durableId="34819983">
    <w:abstractNumId w:val="33"/>
  </w:num>
  <w:num w:numId="36" w16cid:durableId="316497404">
    <w:abstractNumId w:val="11"/>
  </w:num>
  <w:num w:numId="37" w16cid:durableId="406073206">
    <w:abstractNumId w:val="28"/>
  </w:num>
  <w:num w:numId="38" w16cid:durableId="129086670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44C"/>
    <w:rsid w:val="00003C94"/>
    <w:rsid w:val="00003DF9"/>
    <w:rsid w:val="00005F36"/>
    <w:rsid w:val="00012065"/>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6647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523"/>
    <w:rsid w:val="0013486B"/>
    <w:rsid w:val="00140605"/>
    <w:rsid w:val="001434F0"/>
    <w:rsid w:val="001437F8"/>
    <w:rsid w:val="00146814"/>
    <w:rsid w:val="00147724"/>
    <w:rsid w:val="00157285"/>
    <w:rsid w:val="00160507"/>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878"/>
    <w:rsid w:val="001F2A01"/>
    <w:rsid w:val="001F307A"/>
    <w:rsid w:val="001F323A"/>
    <w:rsid w:val="001F4548"/>
    <w:rsid w:val="001F536B"/>
    <w:rsid w:val="001F76EA"/>
    <w:rsid w:val="001F7CC7"/>
    <w:rsid w:val="00205375"/>
    <w:rsid w:val="00205BDA"/>
    <w:rsid w:val="00213024"/>
    <w:rsid w:val="0021358F"/>
    <w:rsid w:val="002163CE"/>
    <w:rsid w:val="002167EB"/>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273B"/>
    <w:rsid w:val="002E36C4"/>
    <w:rsid w:val="002E48FF"/>
    <w:rsid w:val="002E5EBA"/>
    <w:rsid w:val="002E6D6F"/>
    <w:rsid w:val="002F067E"/>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5577"/>
    <w:rsid w:val="003465CD"/>
    <w:rsid w:val="0034766A"/>
    <w:rsid w:val="0034786F"/>
    <w:rsid w:val="0035094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F0759"/>
    <w:rsid w:val="003F08A4"/>
    <w:rsid w:val="003F0CBD"/>
    <w:rsid w:val="003F211C"/>
    <w:rsid w:val="003F6B24"/>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57BE"/>
    <w:rsid w:val="00471CCC"/>
    <w:rsid w:val="00472949"/>
    <w:rsid w:val="00474304"/>
    <w:rsid w:val="00476430"/>
    <w:rsid w:val="00476743"/>
    <w:rsid w:val="004809EA"/>
    <w:rsid w:val="00480D99"/>
    <w:rsid w:val="00482604"/>
    <w:rsid w:val="00484D24"/>
    <w:rsid w:val="004923EE"/>
    <w:rsid w:val="0049548E"/>
    <w:rsid w:val="004977E8"/>
    <w:rsid w:val="004A38EE"/>
    <w:rsid w:val="004A7A0E"/>
    <w:rsid w:val="004B013B"/>
    <w:rsid w:val="004B1741"/>
    <w:rsid w:val="004B1A38"/>
    <w:rsid w:val="004B1AA0"/>
    <w:rsid w:val="004B3FC6"/>
    <w:rsid w:val="004B5293"/>
    <w:rsid w:val="004B69A7"/>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36A82"/>
    <w:rsid w:val="006407BA"/>
    <w:rsid w:val="006417F8"/>
    <w:rsid w:val="00642C20"/>
    <w:rsid w:val="00647CEC"/>
    <w:rsid w:val="00661E5B"/>
    <w:rsid w:val="00662C08"/>
    <w:rsid w:val="00665A51"/>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CED"/>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345A"/>
    <w:rsid w:val="00704623"/>
    <w:rsid w:val="00705D7D"/>
    <w:rsid w:val="00710279"/>
    <w:rsid w:val="007123BB"/>
    <w:rsid w:val="00713DA0"/>
    <w:rsid w:val="007145B7"/>
    <w:rsid w:val="0071490F"/>
    <w:rsid w:val="00721372"/>
    <w:rsid w:val="007224F0"/>
    <w:rsid w:val="00723743"/>
    <w:rsid w:val="00723A50"/>
    <w:rsid w:val="0072552C"/>
    <w:rsid w:val="0073003D"/>
    <w:rsid w:val="00731EEA"/>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0C0E"/>
    <w:rsid w:val="007E1CB2"/>
    <w:rsid w:val="007E475B"/>
    <w:rsid w:val="007E6D3A"/>
    <w:rsid w:val="007F0ACD"/>
    <w:rsid w:val="007F0D4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D17"/>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28ED"/>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97A2B"/>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55A0"/>
    <w:rsid w:val="00A367DA"/>
    <w:rsid w:val="00A37780"/>
    <w:rsid w:val="00A4521E"/>
    <w:rsid w:val="00A5122F"/>
    <w:rsid w:val="00A56C0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250B"/>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5B4"/>
    <w:rsid w:val="00C419BB"/>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317A"/>
    <w:rsid w:val="00CB4285"/>
    <w:rsid w:val="00CB6037"/>
    <w:rsid w:val="00CC1E84"/>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27633"/>
    <w:rsid w:val="00D32041"/>
    <w:rsid w:val="00D3476E"/>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4E45"/>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437F"/>
    <w:rsid w:val="00EE4ECD"/>
    <w:rsid w:val="00EE540F"/>
    <w:rsid w:val="00EE5C7E"/>
    <w:rsid w:val="00EE7189"/>
    <w:rsid w:val="00EF14D4"/>
    <w:rsid w:val="00EF22C9"/>
    <w:rsid w:val="00EF37DF"/>
    <w:rsid w:val="00EF42C8"/>
    <w:rsid w:val="00EF4F31"/>
    <w:rsid w:val="00F10C76"/>
    <w:rsid w:val="00F10D8D"/>
    <w:rsid w:val="00F11498"/>
    <w:rsid w:val="00F12A5F"/>
    <w:rsid w:val="00F13B8B"/>
    <w:rsid w:val="00F140C6"/>
    <w:rsid w:val="00F169A6"/>
    <w:rsid w:val="00F17814"/>
    <w:rsid w:val="00F178D1"/>
    <w:rsid w:val="00F311F8"/>
    <w:rsid w:val="00F330E7"/>
    <w:rsid w:val="00F33D59"/>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WEQ-RMQ BPS</cp:lastModifiedBy>
  <cp:revision>3</cp:revision>
  <cp:lastPrinted>2017-11-14T20:49:00Z</cp:lastPrinted>
  <dcterms:created xsi:type="dcterms:W3CDTF">2025-12-11T18:07:00Z</dcterms:created>
  <dcterms:modified xsi:type="dcterms:W3CDTF">2025-12-11T18:09:00Z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