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2945508A" w:rsidR="00C44C62" w:rsidRPr="000E5855" w:rsidRDefault="00C44C62" w:rsidP="00D62DE0">
      <w:pPr>
        <w:ind w:left="1440" w:hanging="1440"/>
      </w:pPr>
      <w:r w:rsidRPr="000E5855">
        <w:rPr>
          <w:b/>
          <w:bCs/>
        </w:rPr>
        <w:t>RE:</w:t>
      </w:r>
      <w:r w:rsidRPr="000E5855">
        <w:rPr>
          <w:b/>
          <w:bCs/>
        </w:rPr>
        <w:tab/>
      </w:r>
      <w:r w:rsidR="003B551A">
        <w:t xml:space="preserve">Final </w:t>
      </w:r>
      <w:r w:rsidR="00230ECA">
        <w:t xml:space="preserve">Minutes from </w:t>
      </w:r>
      <w:r w:rsidR="00264194">
        <w:t>October 19</w:t>
      </w:r>
      <w:r w:rsidR="000B0FB1">
        <w:t>, 2021</w:t>
      </w:r>
      <w:r w:rsidR="00230ECA">
        <w:t xml:space="preserve"> WEQ BPS </w:t>
      </w:r>
      <w:r w:rsidR="00A856C9">
        <w:t>Meeti</w:t>
      </w:r>
      <w:r w:rsidR="00230ECA">
        <w:t>ng</w:t>
      </w:r>
    </w:p>
    <w:p w14:paraId="7C63E7B7" w14:textId="18CBE220"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264194">
        <w:t>October 22</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4A1CBE1A" w:rsidR="00C44C62" w:rsidRDefault="00264194" w:rsidP="0063021A">
      <w:pPr>
        <w:widowControl w:val="0"/>
        <w:jc w:val="center"/>
        <w:outlineLvl w:val="2"/>
        <w:rPr>
          <w:b/>
          <w:bCs/>
        </w:rPr>
      </w:pPr>
      <w:r>
        <w:rPr>
          <w:b/>
          <w:bCs/>
        </w:rPr>
        <w:t>October 19</w:t>
      </w:r>
      <w:r w:rsidR="000B0FB1">
        <w:rPr>
          <w:b/>
          <w:bCs/>
        </w:rPr>
        <w:t>, 2021</w:t>
      </w:r>
      <w:r w:rsidR="00B70957">
        <w:rPr>
          <w:b/>
          <w:bCs/>
        </w:rPr>
        <w:t xml:space="preserve"> – </w:t>
      </w:r>
      <w:r>
        <w:rPr>
          <w:b/>
          <w:bCs/>
        </w:rPr>
        <w:t>9</w:t>
      </w:r>
      <w:r w:rsidR="00F250F8">
        <w:rPr>
          <w:b/>
          <w:bCs/>
        </w:rPr>
        <w:t>:</w:t>
      </w:r>
      <w:r w:rsidR="00437FB7">
        <w:rPr>
          <w:b/>
          <w:bCs/>
        </w:rPr>
        <w:t>0</w:t>
      </w:r>
      <w:r w:rsidR="00F250F8">
        <w:rPr>
          <w:b/>
          <w:bCs/>
        </w:rPr>
        <w:t xml:space="preserve">0 </w:t>
      </w:r>
      <w:r>
        <w:rPr>
          <w:b/>
          <w:bCs/>
        </w:rPr>
        <w:t>A</w:t>
      </w:r>
      <w:r w:rsidR="00F250F8">
        <w:rPr>
          <w:b/>
          <w:bCs/>
        </w:rPr>
        <w:t>M</w:t>
      </w:r>
      <w:r w:rsidR="00B70957">
        <w:rPr>
          <w:b/>
          <w:bCs/>
        </w:rPr>
        <w:t xml:space="preserve"> to </w:t>
      </w:r>
      <w:r>
        <w:rPr>
          <w:b/>
          <w:bCs/>
        </w:rPr>
        <w:t>12</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6DA8F595" w:rsidR="00C44C62" w:rsidRPr="00EE257D" w:rsidRDefault="003B551A"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56FEF5DB"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264194">
        <w:t>by consensus.</w:t>
      </w:r>
    </w:p>
    <w:p w14:paraId="6A53BC54" w14:textId="77777777" w:rsidR="007A479C" w:rsidRDefault="00345320" w:rsidP="008F22D4">
      <w:pPr>
        <w:spacing w:after="120"/>
        <w:jc w:val="both"/>
      </w:pPr>
      <w:r>
        <w:t xml:space="preserve">The participants reviewed the draft minutes from the </w:t>
      </w:r>
      <w:r w:rsidR="00264194">
        <w:t>September 15,</w:t>
      </w:r>
      <w:r>
        <w:t xml:space="preserve"> 2021 meeting.  </w:t>
      </w:r>
      <w:r w:rsidR="00264194">
        <w:t xml:space="preserve">One modification was made for accuracy.  The participants reviewed the draft minutes from the September 22, 2021 meeting.  </w:t>
      </w:r>
      <w:r w:rsidR="00790D69">
        <w:t>No changes were offered.</w:t>
      </w:r>
      <w:r w:rsidR="00DD782E">
        <w:t xml:space="preserve">  </w:t>
      </w:r>
      <w:r w:rsidR="001F036C">
        <w:t xml:space="preserve">Mr. </w:t>
      </w:r>
      <w:r w:rsidR="007A479C">
        <w:t>Wood</w:t>
      </w:r>
      <w:r w:rsidR="00BC34A9">
        <w:t xml:space="preserve"> </w:t>
      </w:r>
      <w:r>
        <w:t xml:space="preserve">moved, seconded by </w:t>
      </w:r>
      <w:r w:rsidR="007005B5">
        <w:t>Mr.</w:t>
      </w:r>
      <w:r w:rsidR="00BC34A9">
        <w:t xml:space="preserve"> </w:t>
      </w:r>
      <w:r w:rsidR="007A479C">
        <w:t>Pearson,</w:t>
      </w:r>
      <w:r>
        <w:t xml:space="preserve"> to adopt </w:t>
      </w:r>
      <w:r w:rsidR="007A479C">
        <w:t>both sets of</w:t>
      </w:r>
      <w:r>
        <w:t xml:space="preserve"> </w:t>
      </w:r>
      <w:r w:rsidR="00FB2843">
        <w:t xml:space="preserve">draft minutes as final.  The motion passed a simple majority vote without opposition.  </w:t>
      </w:r>
    </w:p>
    <w:p w14:paraId="4515604A" w14:textId="6F405117" w:rsidR="00345320" w:rsidRDefault="00FB2843" w:rsidP="008F22D4">
      <w:pPr>
        <w:spacing w:after="120"/>
        <w:jc w:val="both"/>
      </w:pPr>
      <w:r>
        <w:t xml:space="preserve">The final meeting minutes </w:t>
      </w:r>
      <w:r w:rsidR="007A479C">
        <w:t xml:space="preserve">from the September 15, 2021 meeting </w:t>
      </w:r>
      <w:r>
        <w:t>are available at the following link:</w:t>
      </w:r>
      <w:r w:rsidR="00C5381A">
        <w:t xml:space="preserve"> </w:t>
      </w:r>
      <w:hyperlink r:id="rId8" w:history="1">
        <w:r w:rsidR="004C7B1C">
          <w:rPr>
            <w:rStyle w:val="Hyperlink"/>
          </w:rPr>
          <w:t>https://www.naesb.org/pdf4/weq_bps091521fm.docx</w:t>
        </w:r>
      </w:hyperlink>
    </w:p>
    <w:p w14:paraId="6F466131" w14:textId="49C4F03E" w:rsidR="007A479C" w:rsidRDefault="007A479C" w:rsidP="008F22D4">
      <w:pPr>
        <w:spacing w:after="120"/>
        <w:jc w:val="both"/>
      </w:pPr>
      <w:r>
        <w:t>The final meeting minutes from the September 22, 2021 meeting are available at the following link:</w:t>
      </w:r>
      <w:r w:rsidR="004C7B1C">
        <w:t xml:space="preserve"> </w:t>
      </w:r>
      <w:hyperlink r:id="rId9" w:history="1">
        <w:r w:rsidR="004C7B1C">
          <w:rPr>
            <w:rStyle w:val="Hyperlink"/>
          </w:rPr>
          <w:t>https://www.naesb.org/pdf4/weq_bps092221fm.docx</w:t>
        </w:r>
      </w:hyperlink>
    </w:p>
    <w:p w14:paraId="51910666" w14:textId="79A71641" w:rsidR="0085377F" w:rsidRDefault="0085377F" w:rsidP="004B32C5">
      <w:pPr>
        <w:widowControl w:val="0"/>
        <w:numPr>
          <w:ilvl w:val="0"/>
          <w:numId w:val="11"/>
        </w:numPr>
        <w:tabs>
          <w:tab w:val="left" w:pos="1440"/>
        </w:tabs>
        <w:spacing w:before="120" w:after="120"/>
        <w:jc w:val="both"/>
        <w:rPr>
          <w:b/>
          <w:bCs/>
        </w:rPr>
      </w:pPr>
      <w:r>
        <w:rPr>
          <w:b/>
          <w:bCs/>
        </w:rPr>
        <w:t>Continue to Discuss 2021 WEQ Annual Plan Item 7 – Develop and/or modify standards for information and reporting requirements to support battery storage/energy storage and, more broadly, distributed energy resources in front and behind the meter</w:t>
      </w:r>
    </w:p>
    <w:p w14:paraId="395BBF27" w14:textId="22BC404E" w:rsidR="007A479C" w:rsidRDefault="007E477E" w:rsidP="004B32C5">
      <w:pPr>
        <w:widowControl w:val="0"/>
        <w:tabs>
          <w:tab w:val="left" w:pos="1440"/>
        </w:tabs>
        <w:spacing w:before="120" w:after="120"/>
        <w:jc w:val="both"/>
      </w:pPr>
      <w:r>
        <w:t xml:space="preserve">Mr. Phillips stated that during the </w:t>
      </w:r>
      <w:r w:rsidR="007A479C">
        <w:t>September 15</w:t>
      </w:r>
      <w:r>
        <w:t xml:space="preserve"> meeting, the participants had </w:t>
      </w:r>
      <w:r w:rsidR="007A479C">
        <w:t xml:space="preserve">continued to work on the development of a use case that identifies potential data elements to support the registration of distributed energy resource aggregations and individual resources comprising the aggregations.  He indicated that as part of this meeting, the participants had discussed </w:t>
      </w:r>
      <w:r w:rsidR="007C390A">
        <w:t>adding additional context to the work paper to assist in review by individuals that may not have been participating in the meetings and seek informal industry feedback.  The participants reviewed the work paper containing the use case.</w:t>
      </w:r>
    </w:p>
    <w:p w14:paraId="2AFBAA1B" w14:textId="5F9C94D9" w:rsidR="007C390A" w:rsidRDefault="007C390A" w:rsidP="004B32C5">
      <w:pPr>
        <w:widowControl w:val="0"/>
        <w:tabs>
          <w:tab w:val="left" w:pos="1440"/>
        </w:tabs>
        <w:spacing w:before="120" w:after="120"/>
        <w:jc w:val="both"/>
      </w:pPr>
      <w:r>
        <w:t xml:space="preserve">Mr. Pearson suggested adding language to indicate that the listing of data elements is not meant to be exhaustive and that ISOs or RTOs may require fewer or additional data elements.  Mr. </w:t>
      </w:r>
      <w:r w:rsidR="00FD7FE3">
        <w:t>Fleishman agreed</w:t>
      </w:r>
      <w:r w:rsidR="00F272E1">
        <w:t xml:space="preserve"> but noted that any business practices of an ISO or RTO would be subject to FERC approval</w:t>
      </w:r>
      <w:r w:rsidR="00FD7FE3">
        <w:t xml:space="preserve">.  Mr. Phillips stated that </w:t>
      </w:r>
      <w:r w:rsidR="00F272E1">
        <w:t>several of the</w:t>
      </w:r>
      <w:r w:rsidR="00FD7FE3">
        <w:t xml:space="preserve"> WEQ Business Practice Standards include language </w:t>
      </w:r>
      <w:r w:rsidR="00F272E1">
        <w:t xml:space="preserve">to indicate that there may be other governing documents that an entity is subject to.  Mr. Wood stated that </w:t>
      </w:r>
      <w:r w:rsidR="00D10D92">
        <w:t>“Governing Documents”</w:t>
      </w:r>
      <w:r w:rsidR="00F272E1">
        <w:t xml:space="preserve"> is a defined term in WEQ-000.</w:t>
      </w:r>
      <w:r w:rsidR="00D10D92">
        <w:t xml:space="preserve"> </w:t>
      </w:r>
    </w:p>
    <w:p w14:paraId="38DE4CC7" w14:textId="02731E15" w:rsidR="00F272E1" w:rsidRDefault="00F272E1" w:rsidP="004B32C5">
      <w:pPr>
        <w:widowControl w:val="0"/>
        <w:tabs>
          <w:tab w:val="left" w:pos="1440"/>
        </w:tabs>
        <w:spacing w:before="120" w:after="120"/>
        <w:jc w:val="both"/>
      </w:pPr>
      <w:r>
        <w:t xml:space="preserve">Mr. Rahimi asked if the intent of the use case is to identify all information that may be relevant from all </w:t>
      </w:r>
      <w:r w:rsidR="00D10D92">
        <w:t xml:space="preserve">entities </w:t>
      </w:r>
      <w:r>
        <w:t>in the registration of a distributed energy resource aggregation or resource comprising the aggregation.</w:t>
      </w:r>
      <w:r w:rsidR="00D10D92">
        <w:t xml:space="preserve">  Mr. Wood indicated that “Entity” is a defined term in WEQ-000 and broadly encompasses a range of electric participants.</w:t>
      </w:r>
      <w:r w:rsidR="00B66DAE">
        <w:t xml:space="preserve">  Mr. Rahimi asked if the use case was specifically meant to be inclusive of data that might be needed by a distribution utility in the registration process or if the use case was tailored specifically to </w:t>
      </w:r>
      <w:r w:rsidR="00154C5B">
        <w:t>data needed by ISOs/RTOs</w:t>
      </w:r>
      <w:r w:rsidR="00B66DAE">
        <w:t>.  Mr. Wood noted</w:t>
      </w:r>
      <w:r w:rsidR="00D10D92">
        <w:t xml:space="preserve"> that while FERC Order Nos. 841 and 2222 were specific to participants in organized wholesale electric markets, </w:t>
      </w:r>
      <w:r w:rsidR="00154C5B">
        <w:t xml:space="preserve">drafting of the standards should be inclusive of </w:t>
      </w:r>
      <w:r w:rsidR="00B66DAE">
        <w:t>any entity</w:t>
      </w:r>
      <w:r w:rsidR="00154C5B">
        <w:t xml:space="preserve">’s perspective that </w:t>
      </w:r>
      <w:r w:rsidR="00154C5B">
        <w:lastRenderedPageBreak/>
        <w:t>can gain consensus support.</w:t>
      </w:r>
      <w:r w:rsidR="00B66DAE">
        <w:t xml:space="preserve">  Mr. Phillips agreed.</w:t>
      </w:r>
      <w:r w:rsidR="00154C5B">
        <w:t xml:space="preserve">  The participants added language to indicate that other entities may have differing data requirements.</w:t>
      </w:r>
    </w:p>
    <w:p w14:paraId="21C61CDA" w14:textId="2052F807" w:rsidR="00C60395" w:rsidRDefault="00C60395" w:rsidP="004B32C5">
      <w:pPr>
        <w:widowControl w:val="0"/>
        <w:tabs>
          <w:tab w:val="left" w:pos="1440"/>
        </w:tabs>
        <w:spacing w:before="120" w:after="120"/>
        <w:jc w:val="both"/>
      </w:pPr>
      <w:r>
        <w:t xml:space="preserve">Mr. Phillips asked if the use case should be updated to include which party may be providing the information described by the data elements before asking for informal comments.  Mr. Rahimi suggested that the goal of the informal comments should be to seek feedback on if the identified data elements are sufficient or if there are additional data elements that should be included.  He stated that </w:t>
      </w:r>
      <w:r w:rsidR="001B1A2F">
        <w:t>identifying the interactions between the perspective entities be done as part of the drafting of potential standards language.</w:t>
      </w:r>
    </w:p>
    <w:p w14:paraId="5A781E3B" w14:textId="60511601" w:rsidR="007E477E" w:rsidRDefault="00154C5B" w:rsidP="004B32C5">
      <w:pPr>
        <w:widowControl w:val="0"/>
        <w:tabs>
          <w:tab w:val="left" w:pos="1440"/>
        </w:tabs>
        <w:spacing w:before="120" w:after="120"/>
        <w:jc w:val="both"/>
      </w:pPr>
      <w:r>
        <w:t xml:space="preserve">Mr. Phillips noted that in reviewing the work paper for the meeting, SPP had identified </w:t>
      </w:r>
      <w:r w:rsidR="00D60B58">
        <w:t>a few additional data elements that may be relevant, including operational contact, planning contact, and an indicator for ownership/if the resource is jointly owned.</w:t>
      </w:r>
      <w:r w:rsidR="00C60395">
        <w:t xml:space="preserve">  There was general agreement to add these data elements.</w:t>
      </w:r>
    </w:p>
    <w:p w14:paraId="01615993" w14:textId="03CD554D" w:rsidR="00E20D6B" w:rsidRDefault="001B1A2F" w:rsidP="004B32C5">
      <w:pPr>
        <w:widowControl w:val="0"/>
        <w:tabs>
          <w:tab w:val="left" w:pos="1440"/>
        </w:tabs>
        <w:spacing w:before="120" w:after="120"/>
        <w:jc w:val="both"/>
      </w:pPr>
      <w:r>
        <w:t xml:space="preserve">Mr. Rahimi asked if there is a need to expand the use case to include specific classes of distributed energy resource aggregations, </w:t>
      </w:r>
      <w:r w:rsidR="004E5990">
        <w:t>indicating</w:t>
      </w:r>
      <w:r>
        <w:t xml:space="preserve"> that there may be different requirements applicable </w:t>
      </w:r>
      <w:r w:rsidR="004E5990">
        <w:t xml:space="preserve">to some resource types, such as demand response.  He noted that CAISO has defined a demand response specific class of distributed energy resource aggregation that is separate from other heterogenous distributed energy resource aggregations.  </w:t>
      </w:r>
      <w:r w:rsidR="00DC3DCD">
        <w:t xml:space="preserve">The participants expanded upon the information included under the distributed energy resource aggregation type to include the </w:t>
      </w:r>
      <w:r w:rsidR="00087936">
        <w:t>type of resources comprising a heterogeneous aggregation and the number of resources in an aggregation as well as added a data element to represent the aggregation profile.</w:t>
      </w:r>
    </w:p>
    <w:p w14:paraId="774E2770" w14:textId="596A3F44" w:rsidR="00087936" w:rsidRDefault="00087936" w:rsidP="004B32C5">
      <w:pPr>
        <w:widowControl w:val="0"/>
        <w:tabs>
          <w:tab w:val="left" w:pos="1440"/>
        </w:tabs>
        <w:spacing w:before="120" w:after="120"/>
        <w:jc w:val="both"/>
      </w:pPr>
      <w:r>
        <w:t xml:space="preserve">Mr. Fleishman asked if the data elements identified as part of the registration of individual resources is meant to address only resources comprising an aggregation or also stand-alone energy storage resources.  Mr. Phillips responded that the data elements were identified specifically to address resources that comprise an aggregation.  He asked if there is overlap between the relevant information that may be needed to register a stand-alone energy storage resource and a storage resource that is part of a distributed </w:t>
      </w:r>
      <w:r w:rsidR="000D5D8B">
        <w:t>energy resource aggregation.  Mr. Fleishman noted that the annual plan item also encompasses standards that address energy storage as a standalone resource</w:t>
      </w:r>
      <w:r w:rsidR="00134C23">
        <w:t xml:space="preserve"> and that</w:t>
      </w:r>
      <w:r w:rsidR="000D5D8B">
        <w:t xml:space="preserve"> while that there could be overlap between relevant pieces of information, it may be more beneficial to have </w:t>
      </w:r>
      <w:r w:rsidR="00FE3027">
        <w:t xml:space="preserve">a separate use case that specifically addresses information requirements for the registration of energy storage as a standalone resource.  </w:t>
      </w:r>
      <w:r w:rsidR="00134C23">
        <w:t xml:space="preserve">He noted that Mr. Gladd had previously submitted a </w:t>
      </w:r>
      <w:hyperlink r:id="rId10" w:history="1">
        <w:r w:rsidR="00134C23" w:rsidRPr="00134C23">
          <w:rPr>
            <w:rStyle w:val="Hyperlink"/>
          </w:rPr>
          <w:t>work paper</w:t>
        </w:r>
      </w:hyperlink>
      <w:r w:rsidR="00134C23">
        <w:t xml:space="preserve"> identifying information requirements for storage resources.</w:t>
      </w:r>
      <w:r w:rsidR="00FE3027">
        <w:t xml:space="preserve"> </w:t>
      </w:r>
    </w:p>
    <w:p w14:paraId="5C09EA3E" w14:textId="416BFA05" w:rsidR="00134C23" w:rsidRDefault="00134C23" w:rsidP="004B32C5">
      <w:pPr>
        <w:widowControl w:val="0"/>
        <w:tabs>
          <w:tab w:val="left" w:pos="1440"/>
        </w:tabs>
        <w:spacing w:before="120" w:after="120"/>
        <w:jc w:val="both"/>
      </w:pPr>
      <w:r>
        <w:t xml:space="preserve">The discussed the data elements included as part of the registration of individual resources comprising an </w:t>
      </w:r>
      <w:r w:rsidR="00061BFB">
        <w:t xml:space="preserve">aggregation.  Mr. Phillips noted that some of the identified data elements are generally applicable to all resource types but that others, such as maximum run time/minimum run time, appeared to be resource specific.  The participants reviewed the </w:t>
      </w:r>
      <w:r w:rsidR="00B010CA">
        <w:t>DER Aggregation Descriptive Characteristics Work Paper and pulled resource specific information that may be applicable to the registration of battery resources, solar resources, wind resources, and demand reduction resources.  The participants also agreed to remove any data element that represented real-time data, such as actual weather conditions, as this information is not likely used as part of resource registration.</w:t>
      </w:r>
    </w:p>
    <w:p w14:paraId="66636403" w14:textId="1D62FE1D" w:rsidR="00B010CA" w:rsidRDefault="00B010CA" w:rsidP="004B32C5">
      <w:pPr>
        <w:widowControl w:val="0"/>
        <w:tabs>
          <w:tab w:val="left" w:pos="1440"/>
        </w:tabs>
        <w:spacing w:before="120" w:after="120"/>
        <w:jc w:val="both"/>
      </w:pPr>
      <w:r>
        <w:t xml:space="preserve">The </w:t>
      </w:r>
      <w:r w:rsidR="00421CA1">
        <w:t xml:space="preserve">use case as revised during the meeting is available at the following link: </w:t>
      </w:r>
      <w:hyperlink r:id="rId11" w:history="1">
        <w:r w:rsidR="00421CA1" w:rsidRPr="004142A1">
          <w:rPr>
            <w:rStyle w:val="Hyperlink"/>
          </w:rPr>
          <w:t>https://naesb.org//pdf4/weq_bps101921a1.docx</w:t>
        </w:r>
      </w:hyperlink>
      <w:r w:rsidR="00421CA1">
        <w:t xml:space="preserve">. </w:t>
      </w:r>
    </w:p>
    <w:p w14:paraId="50155E89" w14:textId="10E58E4E" w:rsidR="0026341B" w:rsidRDefault="0026341B" w:rsidP="004B32C5">
      <w:pPr>
        <w:widowControl w:val="0"/>
        <w:numPr>
          <w:ilvl w:val="0"/>
          <w:numId w:val="11"/>
        </w:numPr>
        <w:tabs>
          <w:tab w:val="left" w:pos="1440"/>
        </w:tabs>
        <w:spacing w:before="120" w:after="120"/>
        <w:jc w:val="both"/>
        <w:rPr>
          <w:b/>
          <w:bCs/>
        </w:rPr>
      </w:pPr>
      <w:r>
        <w:rPr>
          <w:b/>
          <w:bCs/>
        </w:rPr>
        <w:t>Next Steps/Review Action Items</w:t>
      </w:r>
    </w:p>
    <w:p w14:paraId="0D263C56" w14:textId="5F0D62CD" w:rsidR="00FE4FAC" w:rsidRDefault="00E20D6B" w:rsidP="00421CA1">
      <w:pPr>
        <w:widowControl w:val="0"/>
        <w:tabs>
          <w:tab w:val="left" w:pos="1440"/>
          <w:tab w:val="num" w:pos="1620"/>
          <w:tab w:val="num" w:pos="2160"/>
        </w:tabs>
        <w:spacing w:before="120" w:after="120"/>
        <w:jc w:val="both"/>
        <w:rPr>
          <w:bCs/>
        </w:rPr>
      </w:pPr>
      <w:r>
        <w:rPr>
          <w:bCs/>
        </w:rPr>
        <w:t xml:space="preserve">Mr. Phillips stated </w:t>
      </w:r>
      <w:r w:rsidR="00421CA1">
        <w:rPr>
          <w:bCs/>
        </w:rPr>
        <w:t xml:space="preserve">that the next meeting of the WEQ BPS is scheduled for November </w:t>
      </w:r>
      <w:r w:rsidR="00C4051D">
        <w:rPr>
          <w:bCs/>
        </w:rPr>
        <w:t>3.  He suggested that the participants move the meeting to November 10 to allow for three weeks for the industry to review the use case and submit informal comments.  There was general agreement with this proposal.</w:t>
      </w:r>
    </w:p>
    <w:p w14:paraId="1F944C02" w14:textId="47C35532" w:rsidR="00C4051D" w:rsidRDefault="00C4051D" w:rsidP="00421CA1">
      <w:pPr>
        <w:widowControl w:val="0"/>
        <w:tabs>
          <w:tab w:val="left" w:pos="1440"/>
          <w:tab w:val="num" w:pos="1620"/>
          <w:tab w:val="num" w:pos="2160"/>
        </w:tabs>
        <w:spacing w:before="120" w:after="120"/>
        <w:jc w:val="both"/>
      </w:pPr>
      <w:r>
        <w:rPr>
          <w:bCs/>
        </w:rPr>
        <w:t>Ms. Trum stated that the WEQ BPS request for informal comments should go out this afternoon.</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61FEBCA9"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FE3027">
        <w:rPr>
          <w:bCs/>
        </w:rPr>
        <w:t>11:12 AM</w:t>
      </w:r>
      <w:r w:rsidR="00FF2568">
        <w:rPr>
          <w:bCs/>
        </w:rPr>
        <w:t xml:space="preserve"> Central </w:t>
      </w:r>
      <w:r w:rsidR="00B7548D">
        <w:rPr>
          <w:bCs/>
        </w:rPr>
        <w:t xml:space="preserve">on a motion by Mr. </w:t>
      </w:r>
      <w:r w:rsidR="00FE3027">
        <w:rPr>
          <w:bCs/>
        </w:rPr>
        <w:t>Fleishman.</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AC0D11" w:rsidRPr="00286562" w14:paraId="11B9A438" w14:textId="77777777" w:rsidTr="001262CB">
        <w:tc>
          <w:tcPr>
            <w:tcW w:w="1998" w:type="dxa"/>
            <w:tcMar>
              <w:top w:w="0" w:type="dxa"/>
              <w:left w:w="108" w:type="dxa"/>
              <w:bottom w:w="0" w:type="dxa"/>
              <w:right w:w="108" w:type="dxa"/>
            </w:tcMar>
          </w:tcPr>
          <w:p w14:paraId="330463D9" w14:textId="3EF5DE0D" w:rsidR="00AC0D11" w:rsidRPr="00BC5DF1" w:rsidRDefault="00AC0D11" w:rsidP="004C02E7">
            <w:pPr>
              <w:keepNext/>
              <w:keepLines/>
              <w:widowControl w:val="0"/>
              <w:spacing w:before="120"/>
              <w:rPr>
                <w:bCs/>
              </w:rPr>
            </w:pPr>
            <w:r w:rsidRPr="00BC5DF1">
              <w:rPr>
                <w:bCs/>
              </w:rPr>
              <w:t>Kevin</w:t>
            </w:r>
          </w:p>
        </w:tc>
        <w:tc>
          <w:tcPr>
            <w:tcW w:w="3240" w:type="dxa"/>
            <w:tcMar>
              <w:top w:w="0" w:type="dxa"/>
              <w:left w:w="108" w:type="dxa"/>
              <w:bottom w:w="0" w:type="dxa"/>
              <w:right w:w="108" w:type="dxa"/>
            </w:tcMar>
          </w:tcPr>
          <w:p w14:paraId="4A774F4D" w14:textId="56CA03C7" w:rsidR="00AC0D11" w:rsidRPr="00BC5DF1" w:rsidRDefault="00AC0D11" w:rsidP="004C02E7">
            <w:pPr>
              <w:keepNext/>
              <w:keepLines/>
              <w:widowControl w:val="0"/>
              <w:spacing w:before="120"/>
              <w:rPr>
                <w:bCs/>
              </w:rPr>
            </w:pPr>
            <w:r w:rsidRPr="00BC5DF1">
              <w:rPr>
                <w:bCs/>
              </w:rPr>
              <w:t>Burns</w:t>
            </w:r>
          </w:p>
        </w:tc>
        <w:tc>
          <w:tcPr>
            <w:tcW w:w="3870" w:type="dxa"/>
            <w:tcMar>
              <w:top w:w="0" w:type="dxa"/>
              <w:left w:w="108" w:type="dxa"/>
              <w:bottom w:w="0" w:type="dxa"/>
              <w:right w:w="108" w:type="dxa"/>
            </w:tcMar>
          </w:tcPr>
          <w:p w14:paraId="5E2A2426" w14:textId="255FE291" w:rsidR="00AC0D11" w:rsidRPr="00BC5DF1" w:rsidRDefault="00AC0D11" w:rsidP="004C02E7">
            <w:pPr>
              <w:keepNext/>
              <w:keepLines/>
              <w:widowControl w:val="0"/>
              <w:spacing w:before="120"/>
              <w:rPr>
                <w:bCs/>
              </w:rPr>
            </w:pPr>
            <w:r w:rsidRPr="00BC5DF1">
              <w:rPr>
                <w:bCs/>
              </w:rPr>
              <w:t>OATI</w:t>
            </w:r>
          </w:p>
        </w:tc>
      </w:tr>
      <w:tr w:rsidR="005C05D5" w:rsidRPr="00286562" w14:paraId="63638F6E" w14:textId="77777777" w:rsidTr="001262CB">
        <w:tc>
          <w:tcPr>
            <w:tcW w:w="1998" w:type="dxa"/>
            <w:tcMar>
              <w:top w:w="0" w:type="dxa"/>
              <w:left w:w="108" w:type="dxa"/>
              <w:bottom w:w="0" w:type="dxa"/>
              <w:right w:w="108" w:type="dxa"/>
            </w:tcMar>
          </w:tcPr>
          <w:p w14:paraId="59AFEBED" w14:textId="13F9D045" w:rsidR="005C05D5" w:rsidRPr="00BC5DF1" w:rsidRDefault="005C05D5" w:rsidP="004C02E7">
            <w:pPr>
              <w:keepNext/>
              <w:keepLines/>
              <w:widowControl w:val="0"/>
              <w:spacing w:before="120"/>
              <w:rPr>
                <w:bCs/>
              </w:rPr>
            </w:pPr>
            <w:r>
              <w:rPr>
                <w:bCs/>
              </w:rPr>
              <w:t>David</w:t>
            </w:r>
          </w:p>
        </w:tc>
        <w:tc>
          <w:tcPr>
            <w:tcW w:w="3240" w:type="dxa"/>
            <w:tcMar>
              <w:top w:w="0" w:type="dxa"/>
              <w:left w:w="108" w:type="dxa"/>
              <w:bottom w:w="0" w:type="dxa"/>
              <w:right w:w="108" w:type="dxa"/>
            </w:tcMar>
          </w:tcPr>
          <w:p w14:paraId="4CFAD00B" w14:textId="0840860B" w:rsidR="005C05D5" w:rsidRPr="00BC5DF1" w:rsidRDefault="005C05D5" w:rsidP="004C02E7">
            <w:pPr>
              <w:keepNext/>
              <w:keepLines/>
              <w:widowControl w:val="0"/>
              <w:spacing w:before="120"/>
              <w:rPr>
                <w:bCs/>
              </w:rPr>
            </w:pPr>
            <w:r>
              <w:rPr>
                <w:bCs/>
              </w:rPr>
              <w:t>Crabtree</w:t>
            </w:r>
          </w:p>
        </w:tc>
        <w:tc>
          <w:tcPr>
            <w:tcW w:w="3870" w:type="dxa"/>
            <w:tcMar>
              <w:top w:w="0" w:type="dxa"/>
              <w:left w:w="108" w:type="dxa"/>
              <w:bottom w:w="0" w:type="dxa"/>
              <w:right w:w="108" w:type="dxa"/>
            </w:tcMar>
          </w:tcPr>
          <w:p w14:paraId="4D0C13E1" w14:textId="485E6931" w:rsidR="005C05D5" w:rsidRPr="00BC5DF1" w:rsidRDefault="005C05D5" w:rsidP="004C02E7">
            <w:pPr>
              <w:keepNext/>
              <w:keepLines/>
              <w:widowControl w:val="0"/>
              <w:spacing w:before="120"/>
              <w:rPr>
                <w:bCs/>
              </w:rPr>
            </w:pPr>
            <w:r>
              <w:rPr>
                <w:bCs/>
              </w:rPr>
              <w:t>Tampa Electric</w:t>
            </w:r>
          </w:p>
        </w:tc>
      </w:tr>
      <w:tr w:rsidR="00BC5DF1" w:rsidRPr="00286562" w14:paraId="693B07C3" w14:textId="77777777" w:rsidTr="001262CB">
        <w:tc>
          <w:tcPr>
            <w:tcW w:w="1998" w:type="dxa"/>
            <w:tcMar>
              <w:top w:w="0" w:type="dxa"/>
              <w:left w:w="108" w:type="dxa"/>
              <w:bottom w:w="0" w:type="dxa"/>
              <w:right w:w="108" w:type="dxa"/>
            </w:tcMar>
          </w:tcPr>
          <w:p w14:paraId="75FFF1EB" w14:textId="5F43D5B8" w:rsidR="00BC5DF1" w:rsidRPr="00BC5DF1" w:rsidRDefault="00BC5DF1" w:rsidP="004C02E7">
            <w:pPr>
              <w:keepNext/>
              <w:keepLines/>
              <w:widowControl w:val="0"/>
              <w:spacing w:before="120"/>
              <w:rPr>
                <w:bCs/>
              </w:rPr>
            </w:pPr>
            <w:r>
              <w:rPr>
                <w:bCs/>
              </w:rPr>
              <w:t>Robert</w:t>
            </w:r>
          </w:p>
        </w:tc>
        <w:tc>
          <w:tcPr>
            <w:tcW w:w="3240" w:type="dxa"/>
            <w:tcMar>
              <w:top w:w="0" w:type="dxa"/>
              <w:left w:w="108" w:type="dxa"/>
              <w:bottom w:w="0" w:type="dxa"/>
              <w:right w:w="108" w:type="dxa"/>
            </w:tcMar>
          </w:tcPr>
          <w:p w14:paraId="76F0BEBA" w14:textId="71F4E564" w:rsidR="00BC5DF1" w:rsidRPr="00BC5DF1" w:rsidRDefault="00BC5DF1" w:rsidP="004C02E7">
            <w:pPr>
              <w:keepNext/>
              <w:keepLines/>
              <w:widowControl w:val="0"/>
              <w:spacing w:before="120"/>
              <w:rPr>
                <w:bCs/>
              </w:rPr>
            </w:pPr>
            <w:r>
              <w:rPr>
                <w:bCs/>
              </w:rPr>
              <w:t>Fleishman</w:t>
            </w:r>
          </w:p>
        </w:tc>
        <w:tc>
          <w:tcPr>
            <w:tcW w:w="3870" w:type="dxa"/>
            <w:tcMar>
              <w:top w:w="0" w:type="dxa"/>
              <w:left w:w="108" w:type="dxa"/>
              <w:bottom w:w="0" w:type="dxa"/>
              <w:right w:w="108" w:type="dxa"/>
            </w:tcMar>
          </w:tcPr>
          <w:p w14:paraId="0CD1D73D" w14:textId="6607A959" w:rsidR="00BC5DF1" w:rsidRPr="00BC5DF1" w:rsidRDefault="0068064B" w:rsidP="004C02E7">
            <w:pPr>
              <w:keepNext/>
              <w:keepLines/>
              <w:widowControl w:val="0"/>
              <w:spacing w:before="120"/>
              <w:rPr>
                <w:bCs/>
              </w:rPr>
            </w:pPr>
            <w:r>
              <w:rPr>
                <w:bCs/>
              </w:rPr>
              <w:t>Kirkland &amp; Ellis LLP</w:t>
            </w:r>
          </w:p>
        </w:tc>
      </w:tr>
      <w:tr w:rsidR="00BC5DF1" w:rsidRPr="00286562" w14:paraId="1403CFB3" w14:textId="77777777" w:rsidTr="001262CB">
        <w:tc>
          <w:tcPr>
            <w:tcW w:w="1998" w:type="dxa"/>
            <w:tcMar>
              <w:top w:w="0" w:type="dxa"/>
              <w:left w:w="108" w:type="dxa"/>
              <w:bottom w:w="0" w:type="dxa"/>
              <w:right w:w="108" w:type="dxa"/>
            </w:tcMar>
          </w:tcPr>
          <w:p w14:paraId="4160EB0E" w14:textId="3F7ADCBB" w:rsidR="00BC5DF1" w:rsidRDefault="00BC5DF1" w:rsidP="004C02E7">
            <w:pPr>
              <w:keepNext/>
              <w:keepLines/>
              <w:widowControl w:val="0"/>
              <w:spacing w:before="120"/>
              <w:rPr>
                <w:bCs/>
              </w:rPr>
            </w:pPr>
            <w:r>
              <w:rPr>
                <w:bCs/>
              </w:rPr>
              <w:t>Daniel</w:t>
            </w:r>
          </w:p>
        </w:tc>
        <w:tc>
          <w:tcPr>
            <w:tcW w:w="3240" w:type="dxa"/>
            <w:tcMar>
              <w:top w:w="0" w:type="dxa"/>
              <w:left w:w="108" w:type="dxa"/>
              <w:bottom w:w="0" w:type="dxa"/>
              <w:right w:w="108" w:type="dxa"/>
            </w:tcMar>
          </w:tcPr>
          <w:p w14:paraId="3E264257" w14:textId="3AC4BA32" w:rsidR="00BC5DF1" w:rsidRDefault="00BC5DF1" w:rsidP="004C02E7">
            <w:pPr>
              <w:keepNext/>
              <w:keepLines/>
              <w:widowControl w:val="0"/>
              <w:spacing w:before="120"/>
              <w:rPr>
                <w:bCs/>
              </w:rPr>
            </w:pPr>
            <w:r>
              <w:rPr>
                <w:bCs/>
              </w:rPr>
              <w:t>Harless</w:t>
            </w:r>
          </w:p>
        </w:tc>
        <w:tc>
          <w:tcPr>
            <w:tcW w:w="3870" w:type="dxa"/>
            <w:tcMar>
              <w:top w:w="0" w:type="dxa"/>
              <w:left w:w="108" w:type="dxa"/>
              <w:bottom w:w="0" w:type="dxa"/>
              <w:right w:w="108" w:type="dxa"/>
            </w:tcMar>
          </w:tcPr>
          <w:p w14:paraId="5CCBDDAB" w14:textId="08D5F59B" w:rsidR="00BC5DF1" w:rsidRDefault="00BC5DF1" w:rsidP="004C02E7">
            <w:pPr>
              <w:keepNext/>
              <w:keepLines/>
              <w:widowControl w:val="0"/>
              <w:spacing w:before="120"/>
              <w:rPr>
                <w:bCs/>
              </w:rPr>
            </w:pPr>
            <w:r>
              <w:rPr>
                <w:bCs/>
              </w:rPr>
              <w:t>SPP</w:t>
            </w:r>
          </w:p>
        </w:tc>
      </w:tr>
      <w:tr w:rsidR="00BC5DF1" w:rsidRPr="00286562" w14:paraId="23A874D4" w14:textId="77777777" w:rsidTr="001262CB">
        <w:tc>
          <w:tcPr>
            <w:tcW w:w="1998" w:type="dxa"/>
            <w:tcMar>
              <w:top w:w="0" w:type="dxa"/>
              <w:left w:w="108" w:type="dxa"/>
              <w:bottom w:w="0" w:type="dxa"/>
              <w:right w:w="108" w:type="dxa"/>
            </w:tcMar>
          </w:tcPr>
          <w:p w14:paraId="546E46B5" w14:textId="5BA52A5B" w:rsidR="00BC5DF1" w:rsidRDefault="00BC5DF1" w:rsidP="004C02E7">
            <w:pPr>
              <w:keepNext/>
              <w:keepLines/>
              <w:widowControl w:val="0"/>
              <w:spacing w:before="120"/>
              <w:rPr>
                <w:bCs/>
              </w:rPr>
            </w:pPr>
            <w:r>
              <w:rPr>
                <w:bCs/>
              </w:rPr>
              <w:t>David</w:t>
            </w:r>
          </w:p>
        </w:tc>
        <w:tc>
          <w:tcPr>
            <w:tcW w:w="3240" w:type="dxa"/>
            <w:tcMar>
              <w:top w:w="0" w:type="dxa"/>
              <w:left w:w="108" w:type="dxa"/>
              <w:bottom w:w="0" w:type="dxa"/>
              <w:right w:w="108" w:type="dxa"/>
            </w:tcMar>
          </w:tcPr>
          <w:p w14:paraId="259B651F" w14:textId="4A6F22A5" w:rsidR="00BC5DF1" w:rsidRDefault="00BC5DF1" w:rsidP="004C02E7">
            <w:pPr>
              <w:keepNext/>
              <w:keepLines/>
              <w:widowControl w:val="0"/>
              <w:spacing w:before="120"/>
              <w:rPr>
                <w:bCs/>
              </w:rPr>
            </w:pPr>
            <w:r>
              <w:rPr>
                <w:bCs/>
              </w:rPr>
              <w:t>Kathan</w:t>
            </w:r>
          </w:p>
        </w:tc>
        <w:tc>
          <w:tcPr>
            <w:tcW w:w="3870" w:type="dxa"/>
            <w:tcMar>
              <w:top w:w="0" w:type="dxa"/>
              <w:left w:w="108" w:type="dxa"/>
              <w:bottom w:w="0" w:type="dxa"/>
              <w:right w:w="108" w:type="dxa"/>
            </w:tcMar>
          </w:tcPr>
          <w:p w14:paraId="55832828" w14:textId="237AFBFE" w:rsidR="00BC5DF1" w:rsidRDefault="00BC5DF1" w:rsidP="004C02E7">
            <w:pPr>
              <w:keepNext/>
              <w:keepLines/>
              <w:widowControl w:val="0"/>
              <w:spacing w:before="120"/>
              <w:rPr>
                <w:bCs/>
              </w:rPr>
            </w:pPr>
            <w:r>
              <w:rPr>
                <w:bCs/>
              </w:rPr>
              <w:t>FERC Staff</w:t>
            </w:r>
          </w:p>
        </w:tc>
      </w:tr>
      <w:tr w:rsidR="00BC5DF1" w:rsidRPr="00286562" w14:paraId="249702C3" w14:textId="77777777" w:rsidTr="001262CB">
        <w:tc>
          <w:tcPr>
            <w:tcW w:w="1998" w:type="dxa"/>
            <w:tcMar>
              <w:top w:w="0" w:type="dxa"/>
              <w:left w:w="108" w:type="dxa"/>
              <w:bottom w:w="0" w:type="dxa"/>
              <w:right w:w="108" w:type="dxa"/>
            </w:tcMar>
          </w:tcPr>
          <w:p w14:paraId="099771EB" w14:textId="0F9A266D" w:rsidR="00BC5DF1" w:rsidRPr="00BC5DF1" w:rsidRDefault="00BC5DF1" w:rsidP="004C02E7">
            <w:pPr>
              <w:keepNext/>
              <w:keepLines/>
              <w:widowControl w:val="0"/>
              <w:spacing w:before="120"/>
              <w:rPr>
                <w:bCs/>
              </w:rPr>
            </w:pPr>
            <w:r>
              <w:rPr>
                <w:bCs/>
              </w:rPr>
              <w:t>Raleigh</w:t>
            </w:r>
          </w:p>
        </w:tc>
        <w:tc>
          <w:tcPr>
            <w:tcW w:w="3240" w:type="dxa"/>
            <w:tcMar>
              <w:top w:w="0" w:type="dxa"/>
              <w:left w:w="108" w:type="dxa"/>
              <w:bottom w:w="0" w:type="dxa"/>
              <w:right w:w="108" w:type="dxa"/>
            </w:tcMar>
          </w:tcPr>
          <w:p w14:paraId="11FA08A2" w14:textId="6527FED7" w:rsidR="00BC5DF1" w:rsidRPr="00BC5DF1" w:rsidRDefault="00BC5DF1" w:rsidP="004C02E7">
            <w:pPr>
              <w:keepNext/>
              <w:keepLines/>
              <w:widowControl w:val="0"/>
              <w:spacing w:before="120"/>
              <w:rPr>
                <w:bCs/>
              </w:rPr>
            </w:pPr>
            <w:r>
              <w:rPr>
                <w:bCs/>
              </w:rPr>
              <w:t>Mohr</w:t>
            </w:r>
          </w:p>
        </w:tc>
        <w:tc>
          <w:tcPr>
            <w:tcW w:w="3870" w:type="dxa"/>
            <w:tcMar>
              <w:top w:w="0" w:type="dxa"/>
              <w:left w:w="108" w:type="dxa"/>
              <w:bottom w:w="0" w:type="dxa"/>
              <w:right w:w="108" w:type="dxa"/>
            </w:tcMar>
          </w:tcPr>
          <w:p w14:paraId="4029F489" w14:textId="54E7909C" w:rsidR="00BC5DF1" w:rsidRPr="00BC5DF1" w:rsidRDefault="00BC5DF1" w:rsidP="004C02E7">
            <w:pPr>
              <w:keepNext/>
              <w:keepLines/>
              <w:widowControl w:val="0"/>
              <w:spacing w:before="120"/>
              <w:rPr>
                <w:bCs/>
              </w:rPr>
            </w:pPr>
            <w:r>
              <w:rPr>
                <w:bCs/>
              </w:rPr>
              <w:t>SPP</w:t>
            </w:r>
          </w:p>
        </w:tc>
      </w:tr>
      <w:tr w:rsidR="00EF5489" w:rsidRPr="00286562" w14:paraId="5124CCDB" w14:textId="77777777" w:rsidTr="001262CB">
        <w:tc>
          <w:tcPr>
            <w:tcW w:w="1998" w:type="dxa"/>
            <w:tcMar>
              <w:top w:w="0" w:type="dxa"/>
              <w:left w:w="108" w:type="dxa"/>
              <w:bottom w:w="0" w:type="dxa"/>
              <w:right w:w="108" w:type="dxa"/>
            </w:tcMar>
          </w:tcPr>
          <w:p w14:paraId="48957F2D" w14:textId="45E482CE" w:rsidR="00EF5489" w:rsidRPr="00BC5DF1" w:rsidRDefault="00EF5489" w:rsidP="004C02E7">
            <w:pPr>
              <w:keepNext/>
              <w:keepLines/>
              <w:widowControl w:val="0"/>
              <w:spacing w:before="120"/>
              <w:rPr>
                <w:bCs/>
              </w:rPr>
            </w:pPr>
            <w:r w:rsidRPr="00BC5DF1">
              <w:rPr>
                <w:bCs/>
              </w:rPr>
              <w:t>John</w:t>
            </w:r>
          </w:p>
        </w:tc>
        <w:tc>
          <w:tcPr>
            <w:tcW w:w="3240" w:type="dxa"/>
            <w:tcMar>
              <w:top w:w="0" w:type="dxa"/>
              <w:left w:w="108" w:type="dxa"/>
              <w:bottom w:w="0" w:type="dxa"/>
              <w:right w:w="108" w:type="dxa"/>
            </w:tcMar>
          </w:tcPr>
          <w:p w14:paraId="2A3CB4D2" w14:textId="21B24142" w:rsidR="00EF5489" w:rsidRPr="00BC5DF1" w:rsidRDefault="00EF5489" w:rsidP="004C02E7">
            <w:pPr>
              <w:keepNext/>
              <w:keepLines/>
              <w:widowControl w:val="0"/>
              <w:spacing w:before="120"/>
              <w:rPr>
                <w:bCs/>
              </w:rPr>
            </w:pPr>
            <w:r w:rsidRPr="00BC5DF1">
              <w:rPr>
                <w:bCs/>
              </w:rPr>
              <w:t>Pearson</w:t>
            </w:r>
          </w:p>
        </w:tc>
        <w:tc>
          <w:tcPr>
            <w:tcW w:w="3870" w:type="dxa"/>
            <w:tcMar>
              <w:top w:w="0" w:type="dxa"/>
              <w:left w:w="108" w:type="dxa"/>
              <w:bottom w:w="0" w:type="dxa"/>
              <w:right w:w="108" w:type="dxa"/>
            </w:tcMar>
          </w:tcPr>
          <w:p w14:paraId="75F19D19" w14:textId="7030D5DB" w:rsidR="00EF5489" w:rsidRPr="00BC5DF1" w:rsidRDefault="00595BF1" w:rsidP="004C02E7">
            <w:pPr>
              <w:keepNext/>
              <w:keepLines/>
              <w:widowControl w:val="0"/>
              <w:spacing w:before="120"/>
              <w:rPr>
                <w:bCs/>
              </w:rPr>
            </w:pPr>
            <w:r w:rsidRPr="00BC5DF1">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BC5DF1" w:rsidRDefault="0087464A" w:rsidP="004C02E7">
            <w:pPr>
              <w:keepNext/>
              <w:keepLines/>
              <w:widowControl w:val="0"/>
              <w:spacing w:before="120"/>
              <w:rPr>
                <w:bCs/>
              </w:rPr>
            </w:pPr>
            <w:r w:rsidRPr="00BC5DF1">
              <w:rPr>
                <w:bCs/>
              </w:rPr>
              <w:t>Joshua</w:t>
            </w:r>
          </w:p>
        </w:tc>
        <w:tc>
          <w:tcPr>
            <w:tcW w:w="3240" w:type="dxa"/>
            <w:tcMar>
              <w:top w:w="0" w:type="dxa"/>
              <w:left w:w="108" w:type="dxa"/>
              <w:bottom w:w="0" w:type="dxa"/>
              <w:right w:w="108" w:type="dxa"/>
            </w:tcMar>
          </w:tcPr>
          <w:p w14:paraId="69084BF0" w14:textId="15A10E77" w:rsidR="0087464A" w:rsidRPr="00BC5DF1" w:rsidRDefault="0087464A" w:rsidP="004C02E7">
            <w:pPr>
              <w:keepNext/>
              <w:keepLines/>
              <w:widowControl w:val="0"/>
              <w:spacing w:before="120"/>
              <w:rPr>
                <w:bCs/>
              </w:rPr>
            </w:pPr>
            <w:r w:rsidRPr="00BC5DF1">
              <w:rPr>
                <w:bCs/>
              </w:rPr>
              <w:t>Phillips</w:t>
            </w:r>
          </w:p>
        </w:tc>
        <w:tc>
          <w:tcPr>
            <w:tcW w:w="3870" w:type="dxa"/>
            <w:tcMar>
              <w:top w:w="0" w:type="dxa"/>
              <w:left w:w="108" w:type="dxa"/>
              <w:bottom w:w="0" w:type="dxa"/>
              <w:right w:w="108" w:type="dxa"/>
            </w:tcMar>
          </w:tcPr>
          <w:p w14:paraId="7E563689" w14:textId="3B8B00A3" w:rsidR="0087464A" w:rsidRPr="00BC5DF1" w:rsidRDefault="0087464A" w:rsidP="004C02E7">
            <w:pPr>
              <w:keepNext/>
              <w:keepLines/>
              <w:widowControl w:val="0"/>
              <w:spacing w:before="120"/>
              <w:rPr>
                <w:bCs/>
              </w:rPr>
            </w:pPr>
            <w:r w:rsidRPr="00BC5DF1">
              <w:rPr>
                <w:bCs/>
              </w:rPr>
              <w:t>SPP</w:t>
            </w:r>
          </w:p>
        </w:tc>
      </w:tr>
      <w:tr w:rsidR="00AC0D11" w:rsidRPr="00286562" w14:paraId="3BD1877F" w14:textId="77777777" w:rsidTr="001262CB">
        <w:tc>
          <w:tcPr>
            <w:tcW w:w="1998" w:type="dxa"/>
            <w:tcMar>
              <w:top w:w="0" w:type="dxa"/>
              <w:left w:w="108" w:type="dxa"/>
              <w:bottom w:w="0" w:type="dxa"/>
              <w:right w:w="108" w:type="dxa"/>
            </w:tcMar>
          </w:tcPr>
          <w:p w14:paraId="37899DEB" w14:textId="7AE3719F" w:rsidR="00AC0D11" w:rsidRPr="00BC5DF1" w:rsidRDefault="00AC0D11" w:rsidP="004C02E7">
            <w:pPr>
              <w:keepNext/>
              <w:keepLines/>
              <w:widowControl w:val="0"/>
              <w:spacing w:before="120"/>
              <w:rPr>
                <w:bCs/>
              </w:rPr>
            </w:pPr>
            <w:r w:rsidRPr="00BC5DF1">
              <w:rPr>
                <w:bCs/>
              </w:rPr>
              <w:t>Farrokh</w:t>
            </w:r>
          </w:p>
        </w:tc>
        <w:tc>
          <w:tcPr>
            <w:tcW w:w="3240" w:type="dxa"/>
            <w:tcMar>
              <w:top w:w="0" w:type="dxa"/>
              <w:left w:w="108" w:type="dxa"/>
              <w:bottom w:w="0" w:type="dxa"/>
              <w:right w:w="108" w:type="dxa"/>
            </w:tcMar>
          </w:tcPr>
          <w:p w14:paraId="357C02C2" w14:textId="17D723B4" w:rsidR="00AC0D11" w:rsidRPr="00BC5DF1" w:rsidRDefault="00AC0D11" w:rsidP="004C02E7">
            <w:pPr>
              <w:keepNext/>
              <w:keepLines/>
              <w:widowControl w:val="0"/>
              <w:spacing w:before="120"/>
              <w:rPr>
                <w:bCs/>
              </w:rPr>
            </w:pPr>
            <w:r w:rsidRPr="00BC5DF1">
              <w:rPr>
                <w:bCs/>
              </w:rPr>
              <w:t>Rahimi</w:t>
            </w:r>
          </w:p>
        </w:tc>
        <w:tc>
          <w:tcPr>
            <w:tcW w:w="3870" w:type="dxa"/>
            <w:tcMar>
              <w:top w:w="0" w:type="dxa"/>
              <w:left w:w="108" w:type="dxa"/>
              <w:bottom w:w="0" w:type="dxa"/>
              <w:right w:w="108" w:type="dxa"/>
            </w:tcMar>
          </w:tcPr>
          <w:p w14:paraId="7182A3C4" w14:textId="6C51313C" w:rsidR="00AC0D11" w:rsidRPr="00BC5DF1" w:rsidRDefault="00AC0D11" w:rsidP="004C02E7">
            <w:pPr>
              <w:keepNext/>
              <w:keepLines/>
              <w:widowControl w:val="0"/>
              <w:spacing w:before="120"/>
              <w:rPr>
                <w:bCs/>
              </w:rPr>
            </w:pPr>
            <w:r w:rsidRPr="00BC5DF1">
              <w:rPr>
                <w:bCs/>
              </w:rPr>
              <w:t>OATI</w:t>
            </w:r>
          </w:p>
        </w:tc>
      </w:tr>
      <w:tr w:rsidR="00AC0D11" w:rsidRPr="00286562" w14:paraId="34902930" w14:textId="77777777" w:rsidTr="001262CB">
        <w:tc>
          <w:tcPr>
            <w:tcW w:w="1998" w:type="dxa"/>
            <w:tcMar>
              <w:top w:w="0" w:type="dxa"/>
              <w:left w:w="108" w:type="dxa"/>
              <w:bottom w:w="0" w:type="dxa"/>
              <w:right w:w="108" w:type="dxa"/>
            </w:tcMar>
          </w:tcPr>
          <w:p w14:paraId="1D5A4544" w14:textId="23C0AAF5" w:rsidR="00AC0D11" w:rsidRPr="00BC5DF1" w:rsidRDefault="00AC0D11" w:rsidP="004C02E7">
            <w:pPr>
              <w:keepNext/>
              <w:keepLines/>
              <w:widowControl w:val="0"/>
              <w:spacing w:before="120"/>
              <w:rPr>
                <w:bCs/>
              </w:rPr>
            </w:pPr>
            <w:r w:rsidRPr="00BC5DF1">
              <w:rPr>
                <w:bCs/>
              </w:rPr>
              <w:t>Robin</w:t>
            </w:r>
          </w:p>
        </w:tc>
        <w:tc>
          <w:tcPr>
            <w:tcW w:w="3240" w:type="dxa"/>
            <w:tcMar>
              <w:top w:w="0" w:type="dxa"/>
              <w:left w:w="108" w:type="dxa"/>
              <w:bottom w:w="0" w:type="dxa"/>
              <w:right w:w="108" w:type="dxa"/>
            </w:tcMar>
          </w:tcPr>
          <w:p w14:paraId="2B200211" w14:textId="6FC8032F" w:rsidR="00AC0D11" w:rsidRPr="00BC5DF1" w:rsidRDefault="00AC0D11" w:rsidP="004C02E7">
            <w:pPr>
              <w:keepNext/>
              <w:keepLines/>
              <w:widowControl w:val="0"/>
              <w:spacing w:before="120"/>
              <w:rPr>
                <w:bCs/>
              </w:rPr>
            </w:pPr>
            <w:proofErr w:type="spellStart"/>
            <w:r w:rsidRPr="00BC5DF1">
              <w:rPr>
                <w:bCs/>
              </w:rPr>
              <w:t>Rebillard</w:t>
            </w:r>
            <w:proofErr w:type="spellEnd"/>
          </w:p>
        </w:tc>
        <w:tc>
          <w:tcPr>
            <w:tcW w:w="3870" w:type="dxa"/>
            <w:tcMar>
              <w:top w:w="0" w:type="dxa"/>
              <w:left w:w="108" w:type="dxa"/>
              <w:bottom w:w="0" w:type="dxa"/>
              <w:right w:w="108" w:type="dxa"/>
            </w:tcMar>
          </w:tcPr>
          <w:p w14:paraId="05FC2125" w14:textId="7B746871" w:rsidR="00AC0D11" w:rsidRPr="00BC5DF1" w:rsidRDefault="009E0FED" w:rsidP="004C02E7">
            <w:pPr>
              <w:keepNext/>
              <w:keepLines/>
              <w:widowControl w:val="0"/>
              <w:spacing w:before="120"/>
              <w:rPr>
                <w:bCs/>
              </w:rPr>
            </w:pPr>
            <w:r w:rsidRPr="00BC5DF1">
              <w:rPr>
                <w:bCs/>
              </w:rPr>
              <w:t>Manitoba Hydro</w:t>
            </w:r>
          </w:p>
        </w:tc>
      </w:tr>
      <w:tr w:rsidR="00AC0D11" w:rsidRPr="00286562" w14:paraId="072C1E02" w14:textId="77777777" w:rsidTr="001262CB">
        <w:tc>
          <w:tcPr>
            <w:tcW w:w="1998" w:type="dxa"/>
            <w:tcMar>
              <w:top w:w="0" w:type="dxa"/>
              <w:left w:w="108" w:type="dxa"/>
              <w:bottom w:w="0" w:type="dxa"/>
              <w:right w:w="108" w:type="dxa"/>
            </w:tcMar>
          </w:tcPr>
          <w:p w14:paraId="6356FE6D" w14:textId="58AD9103" w:rsidR="00AC0D11" w:rsidRPr="005C05D5" w:rsidRDefault="00AC0D11" w:rsidP="004C02E7">
            <w:pPr>
              <w:keepNext/>
              <w:keepLines/>
              <w:widowControl w:val="0"/>
              <w:spacing w:before="120"/>
              <w:rPr>
                <w:bCs/>
              </w:rPr>
            </w:pPr>
            <w:r w:rsidRPr="005C05D5">
              <w:rPr>
                <w:bCs/>
              </w:rPr>
              <w:t>Paul</w:t>
            </w:r>
          </w:p>
        </w:tc>
        <w:tc>
          <w:tcPr>
            <w:tcW w:w="3240" w:type="dxa"/>
            <w:tcMar>
              <w:top w:w="0" w:type="dxa"/>
              <w:left w:w="108" w:type="dxa"/>
              <w:bottom w:w="0" w:type="dxa"/>
              <w:right w:w="108" w:type="dxa"/>
            </w:tcMar>
          </w:tcPr>
          <w:p w14:paraId="1B6B7D88" w14:textId="1F7F0FDA" w:rsidR="00AC0D11" w:rsidRPr="005C05D5" w:rsidRDefault="00AC0D11" w:rsidP="004C02E7">
            <w:pPr>
              <w:keepNext/>
              <w:keepLines/>
              <w:widowControl w:val="0"/>
              <w:spacing w:before="120"/>
              <w:rPr>
                <w:bCs/>
              </w:rPr>
            </w:pPr>
            <w:r w:rsidRPr="005C05D5">
              <w:rPr>
                <w:bCs/>
              </w:rPr>
              <w:t>Schmitt</w:t>
            </w:r>
          </w:p>
        </w:tc>
        <w:tc>
          <w:tcPr>
            <w:tcW w:w="3870" w:type="dxa"/>
            <w:tcMar>
              <w:top w:w="0" w:type="dxa"/>
              <w:left w:w="108" w:type="dxa"/>
              <w:bottom w:w="0" w:type="dxa"/>
              <w:right w:w="108" w:type="dxa"/>
            </w:tcMar>
          </w:tcPr>
          <w:p w14:paraId="05BB8D65" w14:textId="34AC0D6C" w:rsidR="00AC0D11" w:rsidRPr="005C05D5" w:rsidRDefault="00AC0D11" w:rsidP="004C02E7">
            <w:pPr>
              <w:keepNext/>
              <w:keepLines/>
              <w:widowControl w:val="0"/>
              <w:spacing w:before="120"/>
              <w:rPr>
                <w:bCs/>
              </w:rPr>
            </w:pPr>
            <w:r w:rsidRPr="005C05D5">
              <w:rPr>
                <w:bCs/>
              </w:rPr>
              <w:t>Duke Energy</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5C05D5" w:rsidRDefault="00F27096" w:rsidP="004C02E7">
            <w:pPr>
              <w:keepNext/>
              <w:keepLines/>
              <w:widowControl w:val="0"/>
              <w:spacing w:before="120"/>
              <w:rPr>
                <w:bCs/>
              </w:rPr>
            </w:pPr>
            <w:r w:rsidRPr="005C05D5">
              <w:rPr>
                <w:bCs/>
              </w:rPr>
              <w:t xml:space="preserve">Scott </w:t>
            </w:r>
          </w:p>
        </w:tc>
        <w:tc>
          <w:tcPr>
            <w:tcW w:w="3240" w:type="dxa"/>
            <w:tcMar>
              <w:top w:w="0" w:type="dxa"/>
              <w:left w:w="108" w:type="dxa"/>
              <w:bottom w:w="0" w:type="dxa"/>
              <w:right w:w="108" w:type="dxa"/>
            </w:tcMar>
          </w:tcPr>
          <w:p w14:paraId="36643A7A" w14:textId="687132FC" w:rsidR="00F27096" w:rsidRPr="005C05D5" w:rsidRDefault="00F27096" w:rsidP="004C02E7">
            <w:pPr>
              <w:keepNext/>
              <w:keepLines/>
              <w:widowControl w:val="0"/>
              <w:spacing w:before="120"/>
              <w:rPr>
                <w:bCs/>
              </w:rPr>
            </w:pPr>
            <w:r w:rsidRPr="005C05D5">
              <w:rPr>
                <w:bCs/>
              </w:rPr>
              <w:t>Stewart</w:t>
            </w:r>
          </w:p>
        </w:tc>
        <w:tc>
          <w:tcPr>
            <w:tcW w:w="3870" w:type="dxa"/>
            <w:tcMar>
              <w:top w:w="0" w:type="dxa"/>
              <w:left w:w="108" w:type="dxa"/>
              <w:bottom w:w="0" w:type="dxa"/>
              <w:right w:w="108" w:type="dxa"/>
            </w:tcMar>
          </w:tcPr>
          <w:p w14:paraId="3E2433C9" w14:textId="7891AD9C" w:rsidR="00F27096" w:rsidRPr="005C05D5" w:rsidRDefault="005444CA" w:rsidP="004C02E7">
            <w:pPr>
              <w:keepNext/>
              <w:keepLines/>
              <w:widowControl w:val="0"/>
              <w:spacing w:before="120"/>
              <w:rPr>
                <w:bCs/>
              </w:rPr>
            </w:pPr>
            <w:r w:rsidRPr="005C05D5">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BC5DF1" w:rsidRDefault="00BE24C3" w:rsidP="004C02E7">
            <w:pPr>
              <w:keepNext/>
              <w:keepLines/>
              <w:widowControl w:val="0"/>
              <w:spacing w:before="120"/>
              <w:rPr>
                <w:bCs/>
              </w:rPr>
            </w:pPr>
            <w:r w:rsidRPr="00BC5DF1">
              <w:rPr>
                <w:bCs/>
              </w:rPr>
              <w:t>Caroline</w:t>
            </w:r>
          </w:p>
        </w:tc>
        <w:tc>
          <w:tcPr>
            <w:tcW w:w="3240" w:type="dxa"/>
            <w:tcMar>
              <w:top w:w="0" w:type="dxa"/>
              <w:left w:w="108" w:type="dxa"/>
              <w:bottom w:w="0" w:type="dxa"/>
              <w:right w:w="108" w:type="dxa"/>
            </w:tcMar>
            <w:hideMark/>
          </w:tcPr>
          <w:p w14:paraId="3166FE36" w14:textId="77777777" w:rsidR="00BE24C3" w:rsidRPr="00BC5DF1" w:rsidRDefault="00BE24C3" w:rsidP="004C02E7">
            <w:pPr>
              <w:keepNext/>
              <w:keepLines/>
              <w:widowControl w:val="0"/>
              <w:spacing w:before="120"/>
              <w:rPr>
                <w:bCs/>
              </w:rPr>
            </w:pPr>
            <w:r w:rsidRPr="00BC5DF1">
              <w:rPr>
                <w:bCs/>
              </w:rPr>
              <w:t>Trum</w:t>
            </w:r>
          </w:p>
        </w:tc>
        <w:tc>
          <w:tcPr>
            <w:tcW w:w="3870" w:type="dxa"/>
            <w:tcMar>
              <w:top w:w="0" w:type="dxa"/>
              <w:left w:w="108" w:type="dxa"/>
              <w:bottom w:w="0" w:type="dxa"/>
              <w:right w:w="108" w:type="dxa"/>
            </w:tcMar>
            <w:hideMark/>
          </w:tcPr>
          <w:p w14:paraId="57332193" w14:textId="77777777" w:rsidR="00BE24C3" w:rsidRPr="00BC5DF1" w:rsidRDefault="00BE24C3" w:rsidP="004C02E7">
            <w:pPr>
              <w:keepNext/>
              <w:keepLines/>
              <w:widowControl w:val="0"/>
              <w:spacing w:before="120"/>
              <w:rPr>
                <w:bCs/>
              </w:rPr>
            </w:pPr>
            <w:r w:rsidRPr="00BC5DF1">
              <w:rPr>
                <w:bCs/>
              </w:rPr>
              <w:t>NAESB</w:t>
            </w:r>
          </w:p>
        </w:tc>
      </w:tr>
      <w:tr w:rsidR="00BC5DF1" w:rsidRPr="00286562" w14:paraId="492596CA" w14:textId="77777777" w:rsidTr="001262CB">
        <w:tc>
          <w:tcPr>
            <w:tcW w:w="1998" w:type="dxa"/>
            <w:tcMar>
              <w:top w:w="0" w:type="dxa"/>
              <w:left w:w="108" w:type="dxa"/>
              <w:bottom w:w="0" w:type="dxa"/>
              <w:right w:w="108" w:type="dxa"/>
            </w:tcMar>
          </w:tcPr>
          <w:p w14:paraId="5589EC7E" w14:textId="6EA6DF8B" w:rsidR="00BC5DF1" w:rsidRPr="00BC5DF1" w:rsidRDefault="00BC5DF1" w:rsidP="004C02E7">
            <w:pPr>
              <w:keepNext/>
              <w:keepLines/>
              <w:widowControl w:val="0"/>
              <w:spacing w:before="120"/>
              <w:rPr>
                <w:bCs/>
              </w:rPr>
            </w:pPr>
            <w:r>
              <w:rPr>
                <w:bCs/>
              </w:rPr>
              <w:t>Eddie</w:t>
            </w:r>
          </w:p>
        </w:tc>
        <w:tc>
          <w:tcPr>
            <w:tcW w:w="3240" w:type="dxa"/>
            <w:tcMar>
              <w:top w:w="0" w:type="dxa"/>
              <w:left w:w="108" w:type="dxa"/>
              <w:bottom w:w="0" w:type="dxa"/>
              <w:right w:w="108" w:type="dxa"/>
            </w:tcMar>
          </w:tcPr>
          <w:p w14:paraId="274284E0" w14:textId="15D1FC71" w:rsidR="00BC5DF1" w:rsidRPr="00BC5DF1" w:rsidRDefault="00BC5DF1" w:rsidP="004C02E7">
            <w:pPr>
              <w:keepNext/>
              <w:keepLines/>
              <w:widowControl w:val="0"/>
              <w:spacing w:before="120"/>
              <w:rPr>
                <w:bCs/>
              </w:rPr>
            </w:pPr>
            <w:r>
              <w:rPr>
                <w:bCs/>
              </w:rPr>
              <w:t>Watson</w:t>
            </w:r>
          </w:p>
        </w:tc>
        <w:tc>
          <w:tcPr>
            <w:tcW w:w="3870" w:type="dxa"/>
            <w:tcMar>
              <w:top w:w="0" w:type="dxa"/>
              <w:left w:w="108" w:type="dxa"/>
              <w:bottom w:w="0" w:type="dxa"/>
              <w:right w:w="108" w:type="dxa"/>
            </w:tcMar>
          </w:tcPr>
          <w:p w14:paraId="3DF05CD1" w14:textId="4109A78E" w:rsidR="00BC5DF1" w:rsidRPr="00BC5DF1" w:rsidRDefault="002E591E" w:rsidP="004C02E7">
            <w:pPr>
              <w:keepNext/>
              <w:keepLines/>
              <w:widowControl w:val="0"/>
              <w:spacing w:before="120"/>
              <w:rPr>
                <w:bCs/>
              </w:rPr>
            </w:pPr>
            <w:r>
              <w:rPr>
                <w:bCs/>
              </w:rPr>
              <w:t>SPP</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BC5DF1" w:rsidRDefault="00BC5DF1" w:rsidP="004C02E7">
            <w:pPr>
              <w:keepNext/>
              <w:keepLines/>
              <w:widowControl w:val="0"/>
              <w:spacing w:before="120"/>
              <w:rPr>
                <w:bCs/>
              </w:rPr>
            </w:pPr>
            <w:r>
              <w:rPr>
                <w:bCs/>
              </w:rPr>
              <w:t>JT</w:t>
            </w:r>
          </w:p>
        </w:tc>
        <w:tc>
          <w:tcPr>
            <w:tcW w:w="3240" w:type="dxa"/>
            <w:tcMar>
              <w:top w:w="0" w:type="dxa"/>
              <w:left w:w="108" w:type="dxa"/>
              <w:bottom w:w="0" w:type="dxa"/>
              <w:right w:w="108" w:type="dxa"/>
            </w:tcMar>
          </w:tcPr>
          <w:p w14:paraId="2392DA64" w14:textId="53DBD2D9" w:rsidR="00BC5DF1" w:rsidRPr="00BC5DF1" w:rsidRDefault="00BC5DF1" w:rsidP="004C02E7">
            <w:pPr>
              <w:keepNext/>
              <w:keepLines/>
              <w:widowControl w:val="0"/>
              <w:spacing w:before="120"/>
              <w:rPr>
                <w:bCs/>
              </w:rPr>
            </w:pPr>
            <w:r>
              <w:rPr>
                <w:bCs/>
              </w:rPr>
              <w:t>Wood</w:t>
            </w:r>
          </w:p>
        </w:tc>
        <w:tc>
          <w:tcPr>
            <w:tcW w:w="3870" w:type="dxa"/>
            <w:tcMar>
              <w:top w:w="0" w:type="dxa"/>
              <w:left w:w="108" w:type="dxa"/>
              <w:bottom w:w="0" w:type="dxa"/>
              <w:right w:w="108" w:type="dxa"/>
            </w:tcMar>
          </w:tcPr>
          <w:p w14:paraId="53D0F1D6" w14:textId="445FF6B8" w:rsidR="00BC5DF1" w:rsidRPr="00BC5DF1" w:rsidRDefault="00BC5DF1" w:rsidP="004C02E7">
            <w:pPr>
              <w:keepNext/>
              <w:keepLines/>
              <w:widowControl w:val="0"/>
              <w:spacing w:before="120"/>
              <w:rPr>
                <w:bCs/>
              </w:rPr>
            </w:pPr>
            <w:r>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7322" w14:textId="77777777" w:rsidR="004E2E58" w:rsidRDefault="004E2E58">
      <w:r>
        <w:separator/>
      </w:r>
    </w:p>
  </w:endnote>
  <w:endnote w:type="continuationSeparator" w:id="0">
    <w:p w14:paraId="0DD16186" w14:textId="77777777" w:rsidR="004E2E58" w:rsidRDefault="004E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18482D9E"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3B551A">
      <w:rPr>
        <w:sz w:val="18"/>
        <w:szCs w:val="18"/>
      </w:rPr>
      <w:t xml:space="preserve">Final </w:t>
    </w:r>
    <w:r>
      <w:rPr>
        <w:sz w:val="18"/>
        <w:szCs w:val="18"/>
      </w:rPr>
      <w:t xml:space="preserve">Meeting Minutes </w:t>
    </w:r>
    <w:r w:rsidRPr="00176FB9">
      <w:rPr>
        <w:sz w:val="18"/>
        <w:szCs w:val="18"/>
      </w:rPr>
      <w:t>–</w:t>
    </w:r>
    <w:r w:rsidR="0038023A">
      <w:rPr>
        <w:sz w:val="18"/>
        <w:szCs w:val="18"/>
      </w:rPr>
      <w:t xml:space="preserve"> </w:t>
    </w:r>
    <w:r w:rsidR="00FE3027">
      <w:rPr>
        <w:sz w:val="18"/>
        <w:szCs w:val="18"/>
      </w:rPr>
      <w:t>October 19</w:t>
    </w:r>
    <w:r w:rsidR="00542348">
      <w:rPr>
        <w:sz w:val="18"/>
        <w:szCs w:val="18"/>
      </w:rPr>
      <w:t>,</w:t>
    </w:r>
    <w:r w:rsidR="000B4FFF">
      <w:rPr>
        <w:sz w:val="18"/>
        <w:szCs w:val="18"/>
      </w:rPr>
      <w:t xml:space="preserve">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899C" w14:textId="77777777" w:rsidR="004E2E58" w:rsidRDefault="004E2E58">
      <w:r>
        <w:separator/>
      </w:r>
    </w:p>
  </w:footnote>
  <w:footnote w:type="continuationSeparator" w:id="0">
    <w:p w14:paraId="18D2939F" w14:textId="77777777" w:rsidR="004E2E58" w:rsidRDefault="004E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C47"/>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D0018"/>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438"/>
    <w:rsid w:val="003A5DD8"/>
    <w:rsid w:val="003A65C3"/>
    <w:rsid w:val="003A6C54"/>
    <w:rsid w:val="003A6C58"/>
    <w:rsid w:val="003A6DD9"/>
    <w:rsid w:val="003A77E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51A"/>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455"/>
    <w:rsid w:val="004B475A"/>
    <w:rsid w:val="004B48BA"/>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2E58"/>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885"/>
    <w:rsid w:val="004F19AE"/>
    <w:rsid w:val="004F1BB9"/>
    <w:rsid w:val="004F1F3D"/>
    <w:rsid w:val="004F1F8B"/>
    <w:rsid w:val="004F2CFC"/>
    <w:rsid w:val="004F2DBA"/>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0E6"/>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56D8"/>
    <w:rsid w:val="00595816"/>
    <w:rsid w:val="005958BB"/>
    <w:rsid w:val="00595BF1"/>
    <w:rsid w:val="00595E99"/>
    <w:rsid w:val="00596468"/>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F0"/>
    <w:rsid w:val="005B24E1"/>
    <w:rsid w:val="005B2957"/>
    <w:rsid w:val="005B35F1"/>
    <w:rsid w:val="005B3AAE"/>
    <w:rsid w:val="005B3B38"/>
    <w:rsid w:val="005B3E5C"/>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32B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CBA"/>
    <w:rsid w:val="009B512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E4B"/>
    <w:rsid w:val="00B0685F"/>
    <w:rsid w:val="00B06A9B"/>
    <w:rsid w:val="00B06AA7"/>
    <w:rsid w:val="00B06D0C"/>
    <w:rsid w:val="00B06FB8"/>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DF1"/>
    <w:rsid w:val="00BC5FB4"/>
    <w:rsid w:val="00BC64BF"/>
    <w:rsid w:val="00BC6E20"/>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A47"/>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D782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8C3"/>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6786"/>
    <w:rsid w:val="00F569CE"/>
    <w:rsid w:val="00F56B46"/>
    <w:rsid w:val="00F56ECF"/>
    <w:rsid w:val="00F57033"/>
    <w:rsid w:val="00F57094"/>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091521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101921a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pdf4/weq_bps042021w3.docx" TargetMode="External"/><Relationship Id="rId4" Type="http://schemas.openxmlformats.org/officeDocument/2006/relationships/settings" Target="settings.xml"/><Relationship Id="rId9" Type="http://schemas.openxmlformats.org/officeDocument/2006/relationships/hyperlink" Target="https://www.naesb.org/pdf4/weq_bps092221fm.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8236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2021-11-12T18:59:00Z</dcterms:created>
  <dcterms:modified xsi:type="dcterms:W3CDTF">2021-11-12T18:59:00Z</dcterms:modified>
</cp:coreProperties>
</file>