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8DBE8" w14:textId="04664B89"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 xml:space="preserve">From: Joel Hillier </w:t>
      </w:r>
    </w:p>
    <w:p w14:paraId="77494000" w14:textId="77777777"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Sent: Friday, August 21, 2026 10:31 AM</w:t>
      </w:r>
    </w:p>
    <w:p w14:paraId="50292F58" w14:textId="77777777"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 xml:space="preserve">To: </w:t>
      </w:r>
      <w:proofErr w:type="spellStart"/>
      <w:r w:rsidRPr="00105399">
        <w:rPr>
          <w:rFonts w:ascii="Times New Roman" w:hAnsi="Times New Roman" w:cs="Times New Roman"/>
          <w:sz w:val="20"/>
          <w:szCs w:val="20"/>
        </w:rPr>
        <w:t>naesb</w:t>
      </w:r>
      <w:proofErr w:type="spellEnd"/>
      <w:r w:rsidRPr="00105399">
        <w:rPr>
          <w:rFonts w:ascii="Times New Roman" w:hAnsi="Times New Roman" w:cs="Times New Roman"/>
          <w:sz w:val="20"/>
          <w:szCs w:val="20"/>
        </w:rPr>
        <w:t xml:space="preserve"> &lt;naesb@naesb.org&gt;</w:t>
      </w:r>
    </w:p>
    <w:p w14:paraId="570A19CF" w14:textId="77777777"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Subject: Public comment: product cybersecurity procurement contract language, closing 1 September 2026</w:t>
      </w:r>
    </w:p>
    <w:p w14:paraId="398D080B" w14:textId="77777777" w:rsidR="00105399" w:rsidRPr="00105399" w:rsidRDefault="00105399" w:rsidP="00105399">
      <w:pPr>
        <w:spacing w:after="0"/>
        <w:rPr>
          <w:rFonts w:ascii="Times New Roman" w:hAnsi="Times New Roman" w:cs="Times New Roman"/>
          <w:sz w:val="20"/>
          <w:szCs w:val="20"/>
        </w:rPr>
      </w:pPr>
    </w:p>
    <w:p w14:paraId="727A72C6" w14:textId="77777777" w:rsid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Hi,</w:t>
      </w:r>
    </w:p>
    <w:p w14:paraId="520826AA" w14:textId="77777777" w:rsidR="00105399" w:rsidRPr="00105399" w:rsidRDefault="00105399" w:rsidP="00105399">
      <w:pPr>
        <w:spacing w:after="0"/>
        <w:rPr>
          <w:rFonts w:ascii="Times New Roman" w:hAnsi="Times New Roman" w:cs="Times New Roman"/>
          <w:sz w:val="20"/>
          <w:szCs w:val="20"/>
        </w:rPr>
      </w:pPr>
    </w:p>
    <w:p w14:paraId="5E91FB88" w14:textId="77777777" w:rsid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An informal comment on the revised product cybersecurity procurement contract language, submitted before the 1 September window closes. I write standards drafts in this area at the IETF and the comment is about vocabulary rather than about any product.</w:t>
      </w:r>
    </w:p>
    <w:p w14:paraId="6EFDFA71" w14:textId="77777777" w:rsidR="00105399" w:rsidRPr="00105399" w:rsidRDefault="00105399" w:rsidP="00105399">
      <w:pPr>
        <w:spacing w:after="0"/>
        <w:rPr>
          <w:rFonts w:ascii="Times New Roman" w:hAnsi="Times New Roman" w:cs="Times New Roman"/>
          <w:sz w:val="20"/>
          <w:szCs w:val="20"/>
        </w:rPr>
      </w:pPr>
    </w:p>
    <w:p w14:paraId="216B75F0" w14:textId="77777777"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The gap, in one sentence. Procurement language can require a supplier to provide evidence. It cannot currently express the difference between evidence the supplier produced about itself and evidence somebody else produced about the supplier. Those are different things, an operator relies on them differently, and a contract clause that says "shall provide evidence of" buys either one at the same price.</w:t>
      </w:r>
    </w:p>
    <w:p w14:paraId="1074CE81" w14:textId="77777777" w:rsidR="00105399" w:rsidRDefault="00105399" w:rsidP="00105399">
      <w:pPr>
        <w:spacing w:after="0"/>
        <w:rPr>
          <w:rFonts w:ascii="Times New Roman" w:hAnsi="Times New Roman" w:cs="Times New Roman"/>
          <w:sz w:val="20"/>
          <w:szCs w:val="20"/>
        </w:rPr>
      </w:pPr>
    </w:p>
    <w:p w14:paraId="32983063" w14:textId="207DAD79"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I'd suggest three additions, all of them cheap to write and each testable by a reader who holds only the artefact.</w:t>
      </w:r>
    </w:p>
    <w:p w14:paraId="13C37E3C" w14:textId="77777777" w:rsidR="00105399" w:rsidRDefault="00105399" w:rsidP="00105399">
      <w:pPr>
        <w:spacing w:after="0"/>
        <w:rPr>
          <w:rFonts w:ascii="Times New Roman" w:hAnsi="Times New Roman" w:cs="Times New Roman"/>
          <w:sz w:val="20"/>
          <w:szCs w:val="20"/>
        </w:rPr>
      </w:pPr>
    </w:p>
    <w:p w14:paraId="13850249" w14:textId="6C22F2A4"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1. Require evidence to name what it covers, not only what it found.</w:t>
      </w:r>
    </w:p>
    <w:p w14:paraId="04105220" w14:textId="77777777" w:rsidR="00105399" w:rsidRDefault="00105399" w:rsidP="00105399">
      <w:pPr>
        <w:spacing w:after="0"/>
        <w:rPr>
          <w:rFonts w:ascii="Times New Roman" w:hAnsi="Times New Roman" w:cs="Times New Roman"/>
          <w:sz w:val="20"/>
          <w:szCs w:val="20"/>
        </w:rPr>
      </w:pPr>
    </w:p>
    <w:p w14:paraId="70B56676" w14:textId="4DCE72A0"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A report can be complete and still silent about its own scope. "No vulnerabilities were observed" reads as a claim about the product. What was established was a claim about a bounded population examined to a stated depth, and nothing in the record distinguishes the two. A short set of checks and a complete set over a narrower population are the same document.</w:t>
      </w:r>
    </w:p>
    <w:p w14:paraId="729AD365" w14:textId="77777777" w:rsidR="00105399" w:rsidRDefault="00105399" w:rsidP="00105399">
      <w:pPr>
        <w:spacing w:after="0"/>
        <w:rPr>
          <w:rFonts w:ascii="Times New Roman" w:hAnsi="Times New Roman" w:cs="Times New Roman"/>
          <w:sz w:val="20"/>
          <w:szCs w:val="20"/>
        </w:rPr>
      </w:pPr>
    </w:p>
    <w:p w14:paraId="7A28A2B1" w14:textId="012B3B9E"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So: any clause requiring an assessment should require the assessment to declare the population it covered, how that population was arrived at, and an individual accounting for every unit it did not examine. A remainder that reconciles only by arithmetic should not satisfy the clause. A count that comes out right and cannot say which units it is right about is the artefact this closes.</w:t>
      </w:r>
    </w:p>
    <w:p w14:paraId="53E7A039" w14:textId="77777777" w:rsidR="00105399" w:rsidRDefault="00105399" w:rsidP="00105399">
      <w:pPr>
        <w:spacing w:after="0"/>
        <w:rPr>
          <w:rFonts w:ascii="Times New Roman" w:hAnsi="Times New Roman" w:cs="Times New Roman"/>
          <w:sz w:val="20"/>
          <w:szCs w:val="20"/>
        </w:rPr>
      </w:pPr>
    </w:p>
    <w:p w14:paraId="03F65AD0" w14:textId="38ACAFF8"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2. Require evidence to say who produced the checker and what they read to write it.</w:t>
      </w:r>
    </w:p>
    <w:p w14:paraId="6284CBF7" w14:textId="77777777" w:rsidR="00105399" w:rsidRDefault="00105399" w:rsidP="00105399">
      <w:pPr>
        <w:spacing w:after="0"/>
        <w:rPr>
          <w:rFonts w:ascii="Times New Roman" w:hAnsi="Times New Roman" w:cs="Times New Roman"/>
          <w:sz w:val="20"/>
          <w:szCs w:val="20"/>
        </w:rPr>
      </w:pPr>
    </w:p>
    <w:p w14:paraId="1D069071" w14:textId="77FA9075"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This is the vendor-attestation-versus-independent-verification distinction, and it is finer than two values. Three cover what actually gets produced:</w:t>
      </w:r>
    </w:p>
    <w:p w14:paraId="416BE272" w14:textId="77777777" w:rsidR="00105399" w:rsidRDefault="00105399" w:rsidP="00105399">
      <w:pPr>
        <w:spacing w:after="0"/>
        <w:rPr>
          <w:rFonts w:ascii="Times New Roman" w:hAnsi="Times New Roman" w:cs="Times New Roman"/>
          <w:sz w:val="20"/>
          <w:szCs w:val="20"/>
        </w:rPr>
      </w:pPr>
    </w:p>
    <w:p w14:paraId="1FDFFF57" w14:textId="1B91BF7D"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A reproduction of the supplier's own checkers over the supplier's own test data. This establishes that the artefact runs somewhere other than the supplier's machine. That is worth having, and it is not independent verification.</w:t>
      </w:r>
    </w:p>
    <w:p w14:paraId="079758F2" w14:textId="77777777" w:rsidR="00105399" w:rsidRDefault="00105399" w:rsidP="00105399">
      <w:pPr>
        <w:spacing w:after="0"/>
        <w:rPr>
          <w:rFonts w:ascii="Times New Roman" w:hAnsi="Times New Roman" w:cs="Times New Roman"/>
          <w:sz w:val="20"/>
          <w:szCs w:val="20"/>
        </w:rPr>
      </w:pPr>
    </w:p>
    <w:p w14:paraId="6F538099" w14:textId="62DB068E"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An independent implementation written from the specification, run against the supplier's test data. This establishes something about the specification, because a second party had to decide what the sentences meant.</w:t>
      </w:r>
    </w:p>
    <w:p w14:paraId="71795F2C" w14:textId="77777777"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An independent implementation run against independently constructed test data. This establishes something about both.</w:t>
      </w:r>
    </w:p>
    <w:p w14:paraId="1986EA93" w14:textId="77777777" w:rsidR="00105399" w:rsidRDefault="00105399" w:rsidP="00105399">
      <w:pPr>
        <w:spacing w:after="0"/>
        <w:rPr>
          <w:rFonts w:ascii="Times New Roman" w:hAnsi="Times New Roman" w:cs="Times New Roman"/>
          <w:sz w:val="20"/>
          <w:szCs w:val="20"/>
        </w:rPr>
      </w:pPr>
    </w:p>
    <w:p w14:paraId="584502E9" w14:textId="543BE9D8"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And the rule that makes the distinction load-bearing rather than decorative: evidence that does not name which of the three it is should be read as the first. Without that rule the strongest reading is free, and the party with the most to gain from the strongest reading is the party writing the document.</w:t>
      </w:r>
    </w:p>
    <w:p w14:paraId="59BBD98C" w14:textId="77777777" w:rsidR="00105399" w:rsidRDefault="00105399" w:rsidP="00105399">
      <w:pPr>
        <w:spacing w:after="0"/>
        <w:rPr>
          <w:rFonts w:ascii="Times New Roman" w:hAnsi="Times New Roman" w:cs="Times New Roman"/>
          <w:sz w:val="20"/>
          <w:szCs w:val="20"/>
        </w:rPr>
      </w:pPr>
    </w:p>
    <w:p w14:paraId="6A8D7C15" w14:textId="67E1BA7A"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lastRenderedPageBreak/>
        <w:t>I'd note this is not hypothetical. A specification I published this month acquired four independent implementations inside a day. Two of them, written from the same text by two readers who had not seen each other's work, disagreed on every one of the fifteen supplied test cases. The root cause was a data shape the text never named. A supplier report saying "three implementations agree" would have been true and would have told an operator nothing, because all three implementations were written by one author from one reading.</w:t>
      </w:r>
    </w:p>
    <w:p w14:paraId="090EAD83" w14:textId="77777777" w:rsidR="00105399" w:rsidRDefault="00105399" w:rsidP="00105399">
      <w:pPr>
        <w:spacing w:after="0"/>
        <w:rPr>
          <w:rFonts w:ascii="Times New Roman" w:hAnsi="Times New Roman" w:cs="Times New Roman"/>
          <w:sz w:val="20"/>
          <w:szCs w:val="20"/>
        </w:rPr>
      </w:pPr>
    </w:p>
    <w:p w14:paraId="50DE30DB" w14:textId="1695BA09"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3. Require a supplier's own testing to show that it can fail.</w:t>
      </w:r>
    </w:p>
    <w:p w14:paraId="4532B04D" w14:textId="77777777" w:rsidR="00105399" w:rsidRDefault="00105399" w:rsidP="00105399">
      <w:pPr>
        <w:spacing w:after="0"/>
        <w:rPr>
          <w:rFonts w:ascii="Times New Roman" w:hAnsi="Times New Roman" w:cs="Times New Roman"/>
          <w:sz w:val="20"/>
          <w:szCs w:val="20"/>
        </w:rPr>
      </w:pPr>
    </w:p>
    <w:p w14:paraId="77052BBB" w14:textId="13231D96"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The single most useful sentence I know in this area: a checker that has never failed is indistinguishable, in a report, from a checker that cannot fail. Procurement buys green dashboards, and a green dashboard is produced identically by a working control and by a control wired to nothing.</w:t>
      </w:r>
    </w:p>
    <w:p w14:paraId="20487D53" w14:textId="77777777" w:rsidR="00105399" w:rsidRDefault="00105399" w:rsidP="00105399">
      <w:pPr>
        <w:spacing w:after="0"/>
        <w:rPr>
          <w:rFonts w:ascii="Times New Roman" w:hAnsi="Times New Roman" w:cs="Times New Roman"/>
          <w:sz w:val="20"/>
          <w:szCs w:val="20"/>
        </w:rPr>
      </w:pPr>
    </w:p>
    <w:p w14:paraId="1C6B8D89" w14:textId="44A24547"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The cheap remedy is standard practice in software testing and almost absent from procurement evidence. Require that each control a supplier claims be demonstrated failing against a deliberately broken input before it is accepted as passing against a real one, and that the failure be shown rather than asserted. It costs a supplier with working controls almost nothing and is impossible for a supplier without them.</w:t>
      </w:r>
    </w:p>
    <w:p w14:paraId="536E9753" w14:textId="77777777" w:rsidR="00105399" w:rsidRDefault="00105399" w:rsidP="00105399">
      <w:pPr>
        <w:spacing w:after="0"/>
        <w:rPr>
          <w:rFonts w:ascii="Times New Roman" w:hAnsi="Times New Roman" w:cs="Times New Roman"/>
          <w:sz w:val="20"/>
          <w:szCs w:val="20"/>
        </w:rPr>
      </w:pPr>
    </w:p>
    <w:p w14:paraId="65218A1F" w14:textId="17FCAC67"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A refinement worth one clause: the demonstration should show the control failing for its own reason. A broken input that some other control happens to catch first proves nothing about the control under test, and against a tool that stops at its first error, "caught by the right check" is a fact about check order rather than about the checks.</w:t>
      </w:r>
    </w:p>
    <w:p w14:paraId="071198B9" w14:textId="77777777" w:rsidR="00105399" w:rsidRDefault="00105399" w:rsidP="00105399">
      <w:pPr>
        <w:spacing w:after="0"/>
        <w:rPr>
          <w:rFonts w:ascii="Times New Roman" w:hAnsi="Times New Roman" w:cs="Times New Roman"/>
          <w:sz w:val="20"/>
          <w:szCs w:val="20"/>
        </w:rPr>
      </w:pPr>
    </w:p>
    <w:p w14:paraId="52BCC0CB" w14:textId="54B035ED"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One thing to avoid. Wherever the language asks for a proportion, a percentage or a score, it should also require the denominator and the basis on which that denominator was decided. A coverage figure whose denominator was chosen after the results were known is fully compliant with any clause that asks only for the figure, and the information did not survive being moved from the remainder into the denominator. It just moved.</w:t>
      </w:r>
    </w:p>
    <w:p w14:paraId="693D3262" w14:textId="77777777" w:rsidR="00105399" w:rsidRDefault="00105399" w:rsidP="00105399">
      <w:pPr>
        <w:spacing w:after="0"/>
        <w:rPr>
          <w:rFonts w:ascii="Times New Roman" w:hAnsi="Times New Roman" w:cs="Times New Roman"/>
          <w:sz w:val="20"/>
          <w:szCs w:val="20"/>
        </w:rPr>
      </w:pPr>
    </w:p>
    <w:p w14:paraId="2E3D1D6A" w14:textId="491C9998"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I'm happy to supply worked examples of any of the three, including the disagreement case above with the actual numbers, if that would be useful to the drafting group. No response needed otherwise, and thank you for opening the window.</w:t>
      </w:r>
    </w:p>
    <w:p w14:paraId="2C83CD03" w14:textId="77777777" w:rsidR="00105399" w:rsidRDefault="00105399" w:rsidP="00105399">
      <w:pPr>
        <w:spacing w:after="0"/>
        <w:rPr>
          <w:rFonts w:ascii="Times New Roman" w:hAnsi="Times New Roman" w:cs="Times New Roman"/>
          <w:sz w:val="20"/>
          <w:szCs w:val="20"/>
        </w:rPr>
      </w:pPr>
    </w:p>
    <w:p w14:paraId="799E3409" w14:textId="6BC2D575" w:rsidR="00105399" w:rsidRPr="00105399" w:rsidRDefault="00105399" w:rsidP="00105399">
      <w:pPr>
        <w:spacing w:after="0"/>
        <w:rPr>
          <w:rFonts w:ascii="Times New Roman" w:hAnsi="Times New Roman" w:cs="Times New Roman"/>
          <w:sz w:val="20"/>
          <w:szCs w:val="20"/>
        </w:rPr>
      </w:pPr>
      <w:r w:rsidRPr="00105399">
        <w:rPr>
          <w:rFonts w:ascii="Times New Roman" w:hAnsi="Times New Roman" w:cs="Times New Roman"/>
          <w:sz w:val="20"/>
          <w:szCs w:val="20"/>
        </w:rPr>
        <w:t>Joel Hillier</w:t>
      </w:r>
    </w:p>
    <w:p w14:paraId="453F36E1" w14:textId="77777777" w:rsidR="00105399" w:rsidRPr="00105399" w:rsidRDefault="00105399" w:rsidP="00105399">
      <w:pPr>
        <w:spacing w:after="0"/>
        <w:rPr>
          <w:rFonts w:ascii="Times New Roman" w:hAnsi="Times New Roman" w:cs="Times New Roman"/>
          <w:sz w:val="20"/>
          <w:szCs w:val="20"/>
        </w:rPr>
      </w:pPr>
      <w:proofErr w:type="spellStart"/>
      <w:r w:rsidRPr="00105399">
        <w:rPr>
          <w:rFonts w:ascii="Times New Roman" w:hAnsi="Times New Roman" w:cs="Times New Roman"/>
          <w:sz w:val="20"/>
          <w:szCs w:val="20"/>
        </w:rPr>
        <w:t>Certisyn</w:t>
      </w:r>
      <w:proofErr w:type="spellEnd"/>
      <w:r w:rsidRPr="00105399">
        <w:rPr>
          <w:rFonts w:ascii="Times New Roman" w:hAnsi="Times New Roman" w:cs="Times New Roman"/>
          <w:sz w:val="20"/>
          <w:szCs w:val="20"/>
        </w:rPr>
        <w:t>, Inc.</w:t>
      </w:r>
    </w:p>
    <w:sectPr w:rsidR="00105399" w:rsidRPr="001053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399"/>
    <w:rsid w:val="000A68CE"/>
    <w:rsid w:val="00105399"/>
    <w:rsid w:val="00550F83"/>
    <w:rsid w:val="00866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78B04"/>
  <w15:chartTrackingRefBased/>
  <w15:docId w15:val="{3AF821EF-12ED-4FDB-A20F-B9189DD05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53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53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53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53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53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53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3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3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3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3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53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53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53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53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53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3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3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399"/>
    <w:rPr>
      <w:rFonts w:eastAsiaTheme="majorEastAsia" w:cstheme="majorBidi"/>
      <w:color w:val="272727" w:themeColor="text1" w:themeTint="D8"/>
    </w:rPr>
  </w:style>
  <w:style w:type="paragraph" w:styleId="Title">
    <w:name w:val="Title"/>
    <w:basedOn w:val="Normal"/>
    <w:next w:val="Normal"/>
    <w:link w:val="TitleChar"/>
    <w:uiPriority w:val="10"/>
    <w:qFormat/>
    <w:rsid w:val="001053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3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3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3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399"/>
    <w:pPr>
      <w:spacing w:before="160"/>
      <w:jc w:val="center"/>
    </w:pPr>
    <w:rPr>
      <w:i/>
      <w:iCs/>
      <w:color w:val="404040" w:themeColor="text1" w:themeTint="BF"/>
    </w:rPr>
  </w:style>
  <w:style w:type="character" w:customStyle="1" w:styleId="QuoteChar">
    <w:name w:val="Quote Char"/>
    <w:basedOn w:val="DefaultParagraphFont"/>
    <w:link w:val="Quote"/>
    <w:uiPriority w:val="29"/>
    <w:rsid w:val="00105399"/>
    <w:rPr>
      <w:i/>
      <w:iCs/>
      <w:color w:val="404040" w:themeColor="text1" w:themeTint="BF"/>
    </w:rPr>
  </w:style>
  <w:style w:type="paragraph" w:styleId="ListParagraph">
    <w:name w:val="List Paragraph"/>
    <w:basedOn w:val="Normal"/>
    <w:uiPriority w:val="34"/>
    <w:qFormat/>
    <w:rsid w:val="00105399"/>
    <w:pPr>
      <w:ind w:left="720"/>
      <w:contextualSpacing/>
    </w:pPr>
  </w:style>
  <w:style w:type="character" w:styleId="IntenseEmphasis">
    <w:name w:val="Intense Emphasis"/>
    <w:basedOn w:val="DefaultParagraphFont"/>
    <w:uiPriority w:val="21"/>
    <w:qFormat/>
    <w:rsid w:val="00105399"/>
    <w:rPr>
      <w:i/>
      <w:iCs/>
      <w:color w:val="2F5496" w:themeColor="accent1" w:themeShade="BF"/>
    </w:rPr>
  </w:style>
  <w:style w:type="paragraph" w:styleId="IntenseQuote">
    <w:name w:val="Intense Quote"/>
    <w:basedOn w:val="Normal"/>
    <w:next w:val="Normal"/>
    <w:link w:val="IntenseQuoteChar"/>
    <w:uiPriority w:val="30"/>
    <w:qFormat/>
    <w:rsid w:val="001053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5399"/>
    <w:rPr>
      <w:i/>
      <w:iCs/>
      <w:color w:val="2F5496" w:themeColor="accent1" w:themeShade="BF"/>
    </w:rPr>
  </w:style>
  <w:style w:type="character" w:styleId="IntenseReference">
    <w:name w:val="Intense Reference"/>
    <w:basedOn w:val="DefaultParagraphFont"/>
    <w:uiPriority w:val="32"/>
    <w:qFormat/>
    <w:rsid w:val="0010539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781</Words>
  <Characters>4458</Characters>
  <Application>Microsoft Office Word</Application>
  <DocSecurity>0</DocSecurity>
  <Lines>37</Lines>
  <Paragraphs>10</Paragraphs>
  <ScaleCrop>false</ScaleCrop>
  <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Gonzales</dc:creator>
  <cp:keywords/>
  <dc:description/>
  <cp:lastModifiedBy>Chris Gonzales</cp:lastModifiedBy>
  <cp:revision>1</cp:revision>
  <dcterms:created xsi:type="dcterms:W3CDTF">2026-08-21T16:08:00Z</dcterms:created>
  <dcterms:modified xsi:type="dcterms:W3CDTF">2026-08-21T16:13:00Z</dcterms:modified>
</cp:coreProperties>
</file>