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2B0E9" w14:textId="640F512D" w:rsidR="00EF520D" w:rsidRDefault="00EF520D" w:rsidP="00EF520D">
      <w:pPr>
        <w:pStyle w:val="PlainText"/>
      </w:pPr>
      <w:bookmarkStart w:id="0" w:name="_MailOriginal"/>
      <w:r>
        <w:t>-----Original Message-----</w:t>
      </w:r>
      <w:r>
        <w:br/>
        <w:t>From: Iman Schrock</w:t>
      </w:r>
      <w:r>
        <w:br/>
        <w:t>Sent: Wednesday, August 19, 2026 10:46 AM</w:t>
      </w:r>
      <w:r>
        <w:br/>
        <w:t>To: naesb &lt;naesb@naesb.org&gt;</w:t>
      </w:r>
      <w:r>
        <w:br/>
        <w:t>Subject: Informal comments on proposed NAESB Cybersecurity Addendum</w:t>
      </w:r>
    </w:p>
    <w:p w14:paraId="1869C113" w14:textId="77777777" w:rsidR="00EF520D" w:rsidRDefault="00EF520D" w:rsidP="00EF520D">
      <w:pPr>
        <w:pStyle w:val="PlainText"/>
      </w:pPr>
    </w:p>
    <w:p w14:paraId="2C20B4FE" w14:textId="77777777" w:rsidR="00EF520D" w:rsidRDefault="00EF520D" w:rsidP="00EF520D">
      <w:pPr>
        <w:pStyle w:val="PlainText"/>
      </w:pPr>
      <w:r>
        <w:t>NAESB Office,</w:t>
      </w:r>
    </w:p>
    <w:p w14:paraId="7DCC4BDC" w14:textId="77777777" w:rsidR="00EF520D" w:rsidRDefault="00EF520D" w:rsidP="00EF520D">
      <w:pPr>
        <w:pStyle w:val="PlainText"/>
      </w:pPr>
    </w:p>
    <w:p w14:paraId="21874417" w14:textId="77777777" w:rsidR="00EF520D" w:rsidRDefault="00EF520D" w:rsidP="00EF520D">
      <w:pPr>
        <w:pStyle w:val="PlainText"/>
      </w:pPr>
      <w:r>
        <w:t>Please accept these informal comments from EMILIA Protocol, Inc. on the August 18, 2026 proposed NAESB Cybersecurity Addendum for vendors’</w:t>
      </w:r>
    </w:p>
    <w:p w14:paraId="5D4BE1EC" w14:textId="77777777" w:rsidR="00EF520D" w:rsidRDefault="00EF520D" w:rsidP="00EF520D">
      <w:pPr>
        <w:pStyle w:val="PlainText"/>
      </w:pPr>
      <w:r>
        <w:t>sales of products and services.</w:t>
      </w:r>
    </w:p>
    <w:p w14:paraId="43270415" w14:textId="77777777" w:rsidR="00EF520D" w:rsidRDefault="00EF520D" w:rsidP="00EF520D">
      <w:pPr>
        <w:pStyle w:val="PlainText"/>
      </w:pPr>
    </w:p>
    <w:p w14:paraId="4AD4824E" w14:textId="77777777" w:rsidR="00EF520D" w:rsidRDefault="00EF520D" w:rsidP="00EF520D">
      <w:pPr>
        <w:pStyle w:val="PlainText"/>
      </w:pPr>
      <w:r>
        <w:t>1. Section 3.3: preserve the boundary of a vendor attestation.</w:t>
      </w:r>
    </w:p>
    <w:p w14:paraId="5597BAA8" w14:textId="77777777" w:rsidR="00EF520D" w:rsidRDefault="00EF520D" w:rsidP="00EF520D">
      <w:pPr>
        <w:pStyle w:val="PlainText"/>
      </w:pPr>
    </w:p>
    <w:p w14:paraId="38E0B472" w14:textId="77777777" w:rsidR="00EF520D" w:rsidRDefault="00EF520D" w:rsidP="00EF520D">
      <w:pPr>
        <w:pStyle w:val="PlainText"/>
      </w:pPr>
      <w:r>
        <w:t>A written vendor attestation is useful, but it remains the vendor’s assertion. We suggest requiring it to identify the exact Product and version, artifact digest, signer, evidence basis, policy and policy version, issuance time, and validity period. The Addendum should state that this record does not by itself constitute independent verification.</w:t>
      </w:r>
    </w:p>
    <w:p w14:paraId="1F774518" w14:textId="77777777" w:rsidR="00EF520D" w:rsidRDefault="00EF520D" w:rsidP="00EF520D">
      <w:pPr>
        <w:pStyle w:val="PlainText"/>
      </w:pPr>
    </w:p>
    <w:p w14:paraId="3DA26EBA" w14:textId="77777777" w:rsidR="00EF520D" w:rsidRDefault="00EF520D" w:rsidP="00EF520D">
      <w:pPr>
        <w:pStyle w:val="PlainText"/>
      </w:pPr>
      <w:r>
        <w:t>2. Section 3.4: make the verification result reviewable.</w:t>
      </w:r>
    </w:p>
    <w:p w14:paraId="1B7EBA94" w14:textId="77777777" w:rsidR="00EF520D" w:rsidRDefault="00EF520D" w:rsidP="00EF520D">
      <w:pPr>
        <w:pStyle w:val="PlainText"/>
      </w:pPr>
    </w:p>
    <w:p w14:paraId="67C86D8B" w14:textId="77777777" w:rsidR="00EF520D" w:rsidRDefault="00EF520D" w:rsidP="00EF520D">
      <w:pPr>
        <w:pStyle w:val="PlainText"/>
      </w:pPr>
      <w:r>
        <w:t>The verification method should produce an authenticated result identifying the Product or patch evaluated, its digest, the verification policy and version, evaluation time, and outcome. The outcome should distinguish at least verified, mismatch or refusal, and unable to determine. An unavailable, unevaluated, or indeterminate result should not be represented as verified.</w:t>
      </w:r>
    </w:p>
    <w:p w14:paraId="0F1F6D07" w14:textId="77777777" w:rsidR="00EF520D" w:rsidRDefault="00EF520D" w:rsidP="00EF520D">
      <w:pPr>
        <w:pStyle w:val="PlainText"/>
      </w:pPr>
    </w:p>
    <w:p w14:paraId="43A65EDD" w14:textId="77777777" w:rsidR="00EF520D" w:rsidRDefault="00EF520D" w:rsidP="00EF520D">
      <w:pPr>
        <w:pStyle w:val="PlainText"/>
      </w:pPr>
      <w:r>
        <w:t>3. Add a requirement for consequential remote changes.</w:t>
      </w:r>
    </w:p>
    <w:p w14:paraId="60921C66" w14:textId="77777777" w:rsidR="00EF520D" w:rsidRDefault="00EF520D" w:rsidP="00EF520D">
      <w:pPr>
        <w:pStyle w:val="PlainText"/>
      </w:pPr>
    </w:p>
    <w:p w14:paraId="60586645" w14:textId="77777777" w:rsidR="00EF520D" w:rsidRDefault="00EF520D" w:rsidP="00EF520D">
      <w:pPr>
        <w:pStyle w:val="PlainText"/>
      </w:pPr>
      <w:r>
        <w:t>Where a Product accepts remote updates, configuration changes, or operational control commands, the Vendor should provide a mechanism that allows the Product User to:</w:t>
      </w:r>
    </w:p>
    <w:p w14:paraId="3A585084" w14:textId="77777777" w:rsidR="00EF520D" w:rsidRDefault="00EF520D" w:rsidP="00EF520D">
      <w:pPr>
        <w:pStyle w:val="PlainText"/>
      </w:pPr>
    </w:p>
    <w:p w14:paraId="69159D8F" w14:textId="77777777" w:rsidR="00EF520D" w:rsidRDefault="00EF520D" w:rsidP="00EF520D">
      <w:pPr>
        <w:pStyle w:val="PlainText"/>
      </w:pPr>
      <w:r>
        <w:t>• bind approval to the exact action, target, version, and artifact digest; • prevent reuse or replay of that authorization on the protected control path; and • obtain a separately authenticated outcome record.</w:t>
      </w:r>
    </w:p>
    <w:p w14:paraId="7D4A6D55" w14:textId="77777777" w:rsidR="00EF520D" w:rsidRDefault="00EF520D" w:rsidP="00EF520D">
      <w:pPr>
        <w:pStyle w:val="PlainText"/>
      </w:pPr>
    </w:p>
    <w:p w14:paraId="2B5155C8" w14:textId="77777777" w:rsidR="00EF520D" w:rsidRDefault="00EF520D" w:rsidP="00EF520D">
      <w:pPr>
        <w:pStyle w:val="PlainText"/>
      </w:pPr>
      <w:r>
        <w:t>Receipt or acceptance of a command should not be represented as successful execution. If execution may have occurred but no authoritative outcome is available, the state should remain indeterminate and require reconciliation before retry.</w:t>
      </w:r>
    </w:p>
    <w:p w14:paraId="6A54B5E4" w14:textId="77777777" w:rsidR="00EF520D" w:rsidRDefault="00EF520D" w:rsidP="00EF520D">
      <w:pPr>
        <w:pStyle w:val="PlainText"/>
      </w:pPr>
    </w:p>
    <w:p w14:paraId="4ED2DCAB" w14:textId="77777777" w:rsidR="00EF520D" w:rsidRDefault="00EF520D" w:rsidP="00EF520D">
      <w:pPr>
        <w:pStyle w:val="PlainText"/>
      </w:pPr>
      <w:r>
        <w:t>4. Section 2.16 and Exhibit A: do not let a score replace evidence.</w:t>
      </w:r>
    </w:p>
    <w:p w14:paraId="0A687B18" w14:textId="77777777" w:rsidR="00EF520D" w:rsidRDefault="00EF520D" w:rsidP="00EF520D">
      <w:pPr>
        <w:pStyle w:val="PlainText"/>
      </w:pPr>
    </w:p>
    <w:p w14:paraId="6546FB91" w14:textId="77777777" w:rsidR="00EF520D" w:rsidRDefault="00EF520D" w:rsidP="00EF520D">
      <w:pPr>
        <w:pStyle w:val="PlainText"/>
      </w:pPr>
      <w:r>
        <w:t>If SAGScore is retained, the Addendum should require the scoring method and version, evaluated evidence set, evaluation time, and underlying evidence references. A numeric score should be advisory and should not substitute for Product-specific integrity or authenticity verification.</w:t>
      </w:r>
    </w:p>
    <w:p w14:paraId="6F2DDE30" w14:textId="77777777" w:rsidR="00EF520D" w:rsidRDefault="00EF520D" w:rsidP="00EF520D">
      <w:pPr>
        <w:pStyle w:val="PlainText"/>
      </w:pPr>
    </w:p>
    <w:p w14:paraId="4DB1C296" w14:textId="77777777" w:rsidR="00EF520D" w:rsidRDefault="00EF520D" w:rsidP="00EF520D">
      <w:pPr>
        <w:pStyle w:val="PlainText"/>
      </w:pPr>
      <w:r>
        <w:t>5. Section 4.2: distinguish delivery from processing.</w:t>
      </w:r>
    </w:p>
    <w:p w14:paraId="3782C4BE" w14:textId="77777777" w:rsidR="00EF520D" w:rsidRDefault="00EF520D" w:rsidP="00EF520D">
      <w:pPr>
        <w:pStyle w:val="PlainText"/>
      </w:pPr>
    </w:p>
    <w:p w14:paraId="2EC2751B" w14:textId="77777777" w:rsidR="00EF520D" w:rsidRDefault="00EF520D" w:rsidP="00EF520D">
      <w:pPr>
        <w:pStyle w:val="PlainText"/>
      </w:pPr>
      <w:r>
        <w:t>Receipt by an ECS mechanism should establish delivery to that mechanism only. It should not establish human review, acceptance, remediation, authorization, or successful execution.</w:t>
      </w:r>
    </w:p>
    <w:p w14:paraId="75135C9B" w14:textId="77777777" w:rsidR="00EF520D" w:rsidRDefault="00EF520D" w:rsidP="00EF520D">
      <w:pPr>
        <w:pStyle w:val="PlainText"/>
      </w:pPr>
    </w:p>
    <w:p w14:paraId="02D4914F" w14:textId="77777777" w:rsidR="00EF520D" w:rsidRDefault="00EF520D" w:rsidP="00EF520D">
      <w:pPr>
        <w:pStyle w:val="PlainText"/>
      </w:pPr>
      <w:r>
        <w:lastRenderedPageBreak/>
        <w:t>These comments are mechanism-neutral. Their purpose is to make the Addendum’s cybersecurity obligations independently reviewable and to prevent delivery, assertion, or a summary score from being mistaken for verified action or outcome.</w:t>
      </w:r>
    </w:p>
    <w:p w14:paraId="2FD745DD" w14:textId="77777777" w:rsidR="00EF520D" w:rsidRDefault="00EF520D" w:rsidP="00EF520D">
      <w:pPr>
        <w:pStyle w:val="PlainText"/>
      </w:pPr>
    </w:p>
    <w:p w14:paraId="709FF1AC" w14:textId="77777777" w:rsidR="00EF520D" w:rsidRDefault="00EF520D" w:rsidP="00EF520D">
      <w:pPr>
        <w:pStyle w:val="PlainText"/>
      </w:pPr>
      <w:r>
        <w:t>Thank you for opening the text to nonmember comments.</w:t>
      </w:r>
    </w:p>
    <w:p w14:paraId="430741C7" w14:textId="77777777" w:rsidR="00EF520D" w:rsidRDefault="00EF520D" w:rsidP="00EF520D">
      <w:pPr>
        <w:pStyle w:val="PlainText"/>
      </w:pPr>
    </w:p>
    <w:p w14:paraId="08735786" w14:textId="77777777" w:rsidR="00EF520D" w:rsidRDefault="00EF520D" w:rsidP="00EF520D">
      <w:pPr>
        <w:pStyle w:val="PlainText"/>
      </w:pPr>
      <w:r>
        <w:t>Best,</w:t>
      </w:r>
    </w:p>
    <w:p w14:paraId="4BF15631" w14:textId="77777777" w:rsidR="00EF520D" w:rsidRDefault="00EF520D" w:rsidP="00EF520D">
      <w:pPr>
        <w:pStyle w:val="PlainText"/>
      </w:pPr>
      <w:r>
        <w:t>Iman Schrock</w:t>
      </w:r>
    </w:p>
    <w:p w14:paraId="04847D95" w14:textId="77777777" w:rsidR="00EF520D" w:rsidRDefault="00EF520D" w:rsidP="00EF520D">
      <w:pPr>
        <w:pStyle w:val="PlainText"/>
      </w:pPr>
      <w:r>
        <w:t>Founder, EMILIA Protocol, Inc.</w:t>
      </w:r>
    </w:p>
    <w:p w14:paraId="69D26031" w14:textId="77777777" w:rsidR="00EF520D" w:rsidRDefault="00EF520D" w:rsidP="00EF520D">
      <w:pPr>
        <w:pStyle w:val="PlainText"/>
      </w:pPr>
      <w:r>
        <w:t>emiliaprotocol.ai</w:t>
      </w:r>
      <w:bookmarkEnd w:id="0"/>
    </w:p>
    <w:p w14:paraId="1D1C1BB1" w14:textId="77777777" w:rsidR="000A68CE" w:rsidRDefault="000A68CE"/>
    <w:sectPr w:rsidR="000A68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20D"/>
    <w:rsid w:val="000A68CE"/>
    <w:rsid w:val="00550F83"/>
    <w:rsid w:val="009D2FA7"/>
    <w:rsid w:val="00EF5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FD9E7"/>
  <w15:chartTrackingRefBased/>
  <w15:docId w15:val="{ACA79DB2-BB41-44C2-914B-6B94425E2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520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F520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F520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F520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F520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F52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52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52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52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520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F520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F520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F520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F520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F52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52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52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520D"/>
    <w:rPr>
      <w:rFonts w:eastAsiaTheme="majorEastAsia" w:cstheme="majorBidi"/>
      <w:color w:val="272727" w:themeColor="text1" w:themeTint="D8"/>
    </w:rPr>
  </w:style>
  <w:style w:type="paragraph" w:styleId="Title">
    <w:name w:val="Title"/>
    <w:basedOn w:val="Normal"/>
    <w:next w:val="Normal"/>
    <w:link w:val="TitleChar"/>
    <w:uiPriority w:val="10"/>
    <w:qFormat/>
    <w:rsid w:val="00EF52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52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52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52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520D"/>
    <w:pPr>
      <w:spacing w:before="160"/>
      <w:jc w:val="center"/>
    </w:pPr>
    <w:rPr>
      <w:i/>
      <w:iCs/>
      <w:color w:val="404040" w:themeColor="text1" w:themeTint="BF"/>
    </w:rPr>
  </w:style>
  <w:style w:type="character" w:customStyle="1" w:styleId="QuoteChar">
    <w:name w:val="Quote Char"/>
    <w:basedOn w:val="DefaultParagraphFont"/>
    <w:link w:val="Quote"/>
    <w:uiPriority w:val="29"/>
    <w:rsid w:val="00EF520D"/>
    <w:rPr>
      <w:i/>
      <w:iCs/>
      <w:color w:val="404040" w:themeColor="text1" w:themeTint="BF"/>
    </w:rPr>
  </w:style>
  <w:style w:type="paragraph" w:styleId="ListParagraph">
    <w:name w:val="List Paragraph"/>
    <w:basedOn w:val="Normal"/>
    <w:uiPriority w:val="34"/>
    <w:qFormat/>
    <w:rsid w:val="00EF520D"/>
    <w:pPr>
      <w:ind w:left="720"/>
      <w:contextualSpacing/>
    </w:pPr>
  </w:style>
  <w:style w:type="character" w:styleId="IntenseEmphasis">
    <w:name w:val="Intense Emphasis"/>
    <w:basedOn w:val="DefaultParagraphFont"/>
    <w:uiPriority w:val="21"/>
    <w:qFormat/>
    <w:rsid w:val="00EF520D"/>
    <w:rPr>
      <w:i/>
      <w:iCs/>
      <w:color w:val="2F5496" w:themeColor="accent1" w:themeShade="BF"/>
    </w:rPr>
  </w:style>
  <w:style w:type="paragraph" w:styleId="IntenseQuote">
    <w:name w:val="Intense Quote"/>
    <w:basedOn w:val="Normal"/>
    <w:next w:val="Normal"/>
    <w:link w:val="IntenseQuoteChar"/>
    <w:uiPriority w:val="30"/>
    <w:qFormat/>
    <w:rsid w:val="00EF520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F520D"/>
    <w:rPr>
      <w:i/>
      <w:iCs/>
      <w:color w:val="2F5496" w:themeColor="accent1" w:themeShade="BF"/>
    </w:rPr>
  </w:style>
  <w:style w:type="character" w:styleId="IntenseReference">
    <w:name w:val="Intense Reference"/>
    <w:basedOn w:val="DefaultParagraphFont"/>
    <w:uiPriority w:val="32"/>
    <w:qFormat/>
    <w:rsid w:val="00EF520D"/>
    <w:rPr>
      <w:b/>
      <w:bCs/>
      <w:smallCaps/>
      <w:color w:val="2F5496" w:themeColor="accent1" w:themeShade="BF"/>
      <w:spacing w:val="5"/>
    </w:rPr>
  </w:style>
  <w:style w:type="paragraph" w:styleId="PlainText">
    <w:name w:val="Plain Text"/>
    <w:basedOn w:val="Normal"/>
    <w:link w:val="PlainTextChar"/>
    <w:uiPriority w:val="99"/>
    <w:semiHidden/>
    <w:unhideWhenUsed/>
    <w:rsid w:val="00EF520D"/>
    <w:pPr>
      <w:spacing w:after="0" w:line="240" w:lineRule="auto"/>
    </w:pPr>
    <w:rPr>
      <w:rFonts w:ascii="Times New Roman" w:eastAsia="Times New Roman" w:hAnsi="Times New Roman"/>
      <w:sz w:val="22"/>
      <w:szCs w:val="21"/>
    </w:rPr>
  </w:style>
  <w:style w:type="character" w:customStyle="1" w:styleId="PlainTextChar">
    <w:name w:val="Plain Text Char"/>
    <w:basedOn w:val="DefaultParagraphFont"/>
    <w:link w:val="PlainText"/>
    <w:uiPriority w:val="99"/>
    <w:semiHidden/>
    <w:rsid w:val="00EF520D"/>
    <w:rPr>
      <w:rFonts w:ascii="Times New Roman" w:eastAsia="Times New Roman" w:hAnsi="Times New Roman"/>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424</Words>
  <Characters>2422</Characters>
  <Application>Microsoft Office Word</Application>
  <DocSecurity>0</DocSecurity>
  <Lines>20</Lines>
  <Paragraphs>5</Paragraphs>
  <ScaleCrop>false</ScaleCrop>
  <Company/>
  <LinksUpToDate>false</LinksUpToDate>
  <CharactersWithSpaces>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Gonzales</dc:creator>
  <cp:keywords/>
  <dc:description/>
  <cp:lastModifiedBy>Chris Gonzales</cp:lastModifiedBy>
  <cp:revision>1</cp:revision>
  <dcterms:created xsi:type="dcterms:W3CDTF">2026-08-20T15:39:00Z</dcterms:created>
  <dcterms:modified xsi:type="dcterms:W3CDTF">2026-08-20T15:42:00Z</dcterms:modified>
</cp:coreProperties>
</file>