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14DC9" w14:textId="2F1B8265" w:rsidR="007D5C67" w:rsidRPr="00384096" w:rsidRDefault="00056B97" w:rsidP="0030236A">
      <w:pPr>
        <w:spacing w:before="120" w:after="120"/>
        <w:jc w:val="center"/>
        <w:rPr>
          <w:b/>
          <w:bCs/>
          <w:u w:val="single"/>
        </w:rPr>
      </w:pPr>
      <w:r w:rsidRPr="00384096">
        <w:rPr>
          <w:b/>
          <w:bCs/>
          <w:u w:val="single"/>
        </w:rPr>
        <w:t>Communication Exchange</w:t>
      </w:r>
      <w:r w:rsidR="0030236A" w:rsidRPr="00384096">
        <w:rPr>
          <w:b/>
          <w:bCs/>
          <w:u w:val="single"/>
        </w:rPr>
        <w:t xml:space="preserve"> Use Case</w:t>
      </w:r>
    </w:p>
    <w:p w14:paraId="65DC4A5A" w14:textId="5430F366" w:rsidR="0030236A" w:rsidRPr="0030236A" w:rsidRDefault="0030236A" w:rsidP="0030236A">
      <w:pPr>
        <w:spacing w:before="120" w:after="120"/>
        <w:rPr>
          <w:b/>
          <w:bCs/>
        </w:rPr>
      </w:pPr>
      <w:r w:rsidRPr="0030236A">
        <w:rPr>
          <w:b/>
          <w:bCs/>
        </w:rPr>
        <w:t>Description:</w:t>
      </w:r>
    </w:p>
    <w:p w14:paraId="6C86C85B" w14:textId="102FB8DD" w:rsidR="00FB2F25" w:rsidRDefault="0030236A" w:rsidP="0030236A">
      <w:pPr>
        <w:spacing w:before="120" w:after="120"/>
      </w:pPr>
      <w:r>
        <w:t xml:space="preserve">This use cases identifies categories of information </w:t>
      </w:r>
      <w:r w:rsidR="00787DD6">
        <w:t xml:space="preserve">to be electronically </w:t>
      </w:r>
      <w:r>
        <w:t>exchanged between a DER Aggregator and a Distribution Utility to carryout transactions for sales of distribution grid services that fall under state or local jurisdiction. The goal is to identify the cybersecurity protections that may be needed to secure necessary commercial communications and determine if supporting NAESB Business Practice Standards should be considered.</w:t>
      </w:r>
      <w:r w:rsidR="00FB2F25">
        <w:t xml:space="preserve">  The NAESB Base Contract for the Sale and Purchase of Distributed Grid Services from DER Aggregations includes provisions for parties to use secure electronic communications (ECS) to exchange applicable information, such as transaction confirmations and invoices, under the contract. </w:t>
      </w:r>
    </w:p>
    <w:p w14:paraId="681C8897" w14:textId="6C4B8DF0" w:rsidR="0030236A" w:rsidRPr="0030236A" w:rsidRDefault="0030236A" w:rsidP="0030236A">
      <w:pPr>
        <w:spacing w:before="120" w:after="120"/>
        <w:rPr>
          <w:b/>
          <w:bCs/>
        </w:rPr>
      </w:pPr>
      <w:r w:rsidRPr="0030236A">
        <w:rPr>
          <w:b/>
          <w:bCs/>
        </w:rPr>
        <w:t>Potential Data Exchanges:</w:t>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056B97" w14:paraId="390698A5" w14:textId="77777777" w:rsidTr="00056B97">
        <w:tc>
          <w:tcPr>
            <w:tcW w:w="2158" w:type="dxa"/>
          </w:tcPr>
          <w:p w14:paraId="010DD5EA" w14:textId="300F0C20" w:rsidR="00056B97" w:rsidRPr="0090107D" w:rsidRDefault="000D5568" w:rsidP="0090107D">
            <w:pPr>
              <w:spacing w:before="120" w:after="120"/>
              <w:jc w:val="center"/>
              <w:rPr>
                <w:i/>
                <w:iCs/>
              </w:rPr>
            </w:pPr>
            <w:r>
              <w:rPr>
                <w:i/>
                <w:iCs/>
              </w:rPr>
              <w:t xml:space="preserve">Electronic </w:t>
            </w:r>
            <w:r w:rsidR="00056B97" w:rsidRPr="0090107D">
              <w:rPr>
                <w:i/>
                <w:iCs/>
              </w:rPr>
              <w:t>Communication Exchange</w:t>
            </w:r>
          </w:p>
        </w:tc>
        <w:tc>
          <w:tcPr>
            <w:tcW w:w="2158" w:type="dxa"/>
          </w:tcPr>
          <w:p w14:paraId="0AD425B6" w14:textId="27D7D0F0" w:rsidR="00056B97" w:rsidRPr="0090107D" w:rsidRDefault="00056B97" w:rsidP="0090107D">
            <w:pPr>
              <w:spacing w:before="120" w:after="120"/>
              <w:jc w:val="center"/>
              <w:rPr>
                <w:i/>
                <w:iCs/>
              </w:rPr>
            </w:pPr>
            <w:r w:rsidRPr="0090107D">
              <w:rPr>
                <w:i/>
                <w:iCs/>
              </w:rPr>
              <w:t>Data Owner/Controller</w:t>
            </w:r>
          </w:p>
        </w:tc>
        <w:tc>
          <w:tcPr>
            <w:tcW w:w="2158" w:type="dxa"/>
          </w:tcPr>
          <w:p w14:paraId="07B77756" w14:textId="5AE31EE8" w:rsidR="00056B97" w:rsidRPr="0090107D" w:rsidRDefault="00056B97" w:rsidP="0090107D">
            <w:pPr>
              <w:spacing w:before="120" w:after="120"/>
              <w:jc w:val="center"/>
              <w:rPr>
                <w:i/>
                <w:iCs/>
              </w:rPr>
            </w:pPr>
            <w:r w:rsidRPr="0090107D">
              <w:rPr>
                <w:i/>
                <w:iCs/>
              </w:rPr>
              <w:t>Receiving Party</w:t>
            </w:r>
          </w:p>
        </w:tc>
        <w:tc>
          <w:tcPr>
            <w:tcW w:w="2158" w:type="dxa"/>
          </w:tcPr>
          <w:p w14:paraId="2469D069" w14:textId="6B147BE9" w:rsidR="00056B97" w:rsidRPr="0090107D" w:rsidRDefault="00056B97" w:rsidP="0090107D">
            <w:pPr>
              <w:spacing w:before="120" w:after="120"/>
              <w:jc w:val="center"/>
              <w:rPr>
                <w:i/>
                <w:iCs/>
              </w:rPr>
            </w:pPr>
            <w:r w:rsidRPr="0090107D">
              <w:rPr>
                <w:i/>
                <w:iCs/>
              </w:rPr>
              <w:t>Cybersecurity Considerations</w:t>
            </w:r>
          </w:p>
        </w:tc>
        <w:tc>
          <w:tcPr>
            <w:tcW w:w="2159" w:type="dxa"/>
          </w:tcPr>
          <w:p w14:paraId="0A6D03C8" w14:textId="4DAFEC8F" w:rsidR="00056B97" w:rsidRPr="0090107D" w:rsidRDefault="00056B97" w:rsidP="0090107D">
            <w:pPr>
              <w:spacing w:before="120" w:after="120"/>
              <w:jc w:val="center"/>
              <w:rPr>
                <w:i/>
                <w:iCs/>
              </w:rPr>
            </w:pPr>
            <w:r w:rsidRPr="0090107D">
              <w:rPr>
                <w:i/>
                <w:iCs/>
              </w:rPr>
              <w:t>Existing Standards</w:t>
            </w:r>
          </w:p>
        </w:tc>
        <w:tc>
          <w:tcPr>
            <w:tcW w:w="2159" w:type="dxa"/>
          </w:tcPr>
          <w:p w14:paraId="1336D142" w14:textId="1C1B4F19" w:rsidR="00056B97" w:rsidRPr="0090107D" w:rsidRDefault="00056B97" w:rsidP="0090107D">
            <w:pPr>
              <w:spacing w:before="120" w:after="120"/>
              <w:jc w:val="center"/>
              <w:rPr>
                <w:i/>
                <w:iCs/>
              </w:rPr>
            </w:pPr>
            <w:r w:rsidRPr="0090107D">
              <w:rPr>
                <w:i/>
                <w:iCs/>
              </w:rPr>
              <w:t>Comments</w:t>
            </w:r>
          </w:p>
        </w:tc>
      </w:tr>
      <w:tr w:rsidR="00F103BA" w14:paraId="08DFACA9" w14:textId="77777777" w:rsidTr="00F103BA">
        <w:trPr>
          <w:trHeight w:val="234"/>
        </w:trPr>
        <w:tc>
          <w:tcPr>
            <w:tcW w:w="2158" w:type="dxa"/>
            <w:vMerge w:val="restart"/>
          </w:tcPr>
          <w:p w14:paraId="3721D859" w14:textId="548F1A2C" w:rsidR="00F103BA" w:rsidRPr="0090107D" w:rsidRDefault="00F103BA" w:rsidP="00F103BA">
            <w:pPr>
              <w:spacing w:before="120" w:after="120"/>
              <w:rPr>
                <w:b/>
                <w:bCs/>
              </w:rPr>
            </w:pPr>
            <w:r>
              <w:rPr>
                <w:b/>
                <w:bCs/>
              </w:rPr>
              <w:t>Billing &amp; Payment Information</w:t>
            </w:r>
            <w:r w:rsidR="00384096">
              <w:rPr>
                <w:b/>
                <w:bCs/>
              </w:rPr>
              <w:t xml:space="preserve"> Communications</w:t>
            </w:r>
          </w:p>
        </w:tc>
        <w:tc>
          <w:tcPr>
            <w:tcW w:w="2158" w:type="dxa"/>
          </w:tcPr>
          <w:p w14:paraId="2875AAA5" w14:textId="449FF6FA" w:rsidR="00F103BA" w:rsidRDefault="00F103BA" w:rsidP="00F103BA">
            <w:pPr>
              <w:spacing w:before="120" w:after="120"/>
            </w:pPr>
            <w:r>
              <w:t>Distribution Utility</w:t>
            </w:r>
          </w:p>
        </w:tc>
        <w:tc>
          <w:tcPr>
            <w:tcW w:w="2158" w:type="dxa"/>
          </w:tcPr>
          <w:p w14:paraId="45204D63" w14:textId="47D2AAEA" w:rsidR="00F103BA" w:rsidRDefault="00F103BA" w:rsidP="00F103BA">
            <w:pPr>
              <w:spacing w:before="120" w:after="120"/>
            </w:pPr>
            <w:r>
              <w:t>Aggregator</w:t>
            </w:r>
          </w:p>
        </w:tc>
        <w:tc>
          <w:tcPr>
            <w:tcW w:w="2158" w:type="dxa"/>
            <w:vMerge w:val="restart"/>
          </w:tcPr>
          <w:p w14:paraId="0345B9D1" w14:textId="77777777" w:rsidR="00F103BA" w:rsidRDefault="00F103BA" w:rsidP="00F103BA">
            <w:pPr>
              <w:spacing w:before="120" w:after="120"/>
            </w:pPr>
          </w:p>
        </w:tc>
        <w:tc>
          <w:tcPr>
            <w:tcW w:w="2159" w:type="dxa"/>
            <w:vMerge w:val="restart"/>
          </w:tcPr>
          <w:p w14:paraId="24F63B27" w14:textId="77777777" w:rsidR="00F103BA" w:rsidRDefault="00F103BA" w:rsidP="00F103BA">
            <w:pPr>
              <w:spacing w:before="120" w:after="120"/>
            </w:pPr>
          </w:p>
        </w:tc>
        <w:tc>
          <w:tcPr>
            <w:tcW w:w="2159" w:type="dxa"/>
            <w:vMerge w:val="restart"/>
          </w:tcPr>
          <w:p w14:paraId="154811CD" w14:textId="77777777" w:rsidR="00F103BA" w:rsidRDefault="00F103BA" w:rsidP="00F103BA">
            <w:pPr>
              <w:spacing w:before="120" w:after="120"/>
            </w:pPr>
          </w:p>
        </w:tc>
      </w:tr>
      <w:tr w:rsidR="00F103BA" w14:paraId="01AADCB7" w14:textId="77777777" w:rsidTr="00056B97">
        <w:trPr>
          <w:trHeight w:val="234"/>
        </w:trPr>
        <w:tc>
          <w:tcPr>
            <w:tcW w:w="2158" w:type="dxa"/>
            <w:vMerge/>
          </w:tcPr>
          <w:p w14:paraId="052FB97D" w14:textId="77777777" w:rsidR="00F103BA" w:rsidRDefault="00F103BA" w:rsidP="00F103BA">
            <w:pPr>
              <w:spacing w:before="120" w:after="120"/>
              <w:rPr>
                <w:b/>
                <w:bCs/>
              </w:rPr>
            </w:pPr>
          </w:p>
        </w:tc>
        <w:tc>
          <w:tcPr>
            <w:tcW w:w="2158" w:type="dxa"/>
          </w:tcPr>
          <w:p w14:paraId="12EB95BA" w14:textId="1FE8C427" w:rsidR="00F103BA" w:rsidRDefault="00F103BA" w:rsidP="00F103BA">
            <w:pPr>
              <w:spacing w:before="120" w:after="120"/>
            </w:pPr>
            <w:r>
              <w:t>Aggregator</w:t>
            </w:r>
          </w:p>
        </w:tc>
        <w:tc>
          <w:tcPr>
            <w:tcW w:w="2158" w:type="dxa"/>
          </w:tcPr>
          <w:p w14:paraId="72DBC594" w14:textId="3B79966C" w:rsidR="00F103BA" w:rsidRDefault="00F103BA" w:rsidP="00F103BA">
            <w:pPr>
              <w:spacing w:before="120" w:after="120"/>
            </w:pPr>
            <w:r>
              <w:t>Distribution Utility</w:t>
            </w:r>
          </w:p>
        </w:tc>
        <w:tc>
          <w:tcPr>
            <w:tcW w:w="2158" w:type="dxa"/>
            <w:vMerge/>
          </w:tcPr>
          <w:p w14:paraId="7437A3C4" w14:textId="77777777" w:rsidR="00F103BA" w:rsidRDefault="00F103BA" w:rsidP="00F103BA">
            <w:pPr>
              <w:spacing w:before="120" w:after="120"/>
            </w:pPr>
          </w:p>
        </w:tc>
        <w:tc>
          <w:tcPr>
            <w:tcW w:w="2159" w:type="dxa"/>
            <w:vMerge/>
          </w:tcPr>
          <w:p w14:paraId="159290B7" w14:textId="77777777" w:rsidR="00F103BA" w:rsidRDefault="00F103BA" w:rsidP="00F103BA">
            <w:pPr>
              <w:spacing w:before="120" w:after="120"/>
            </w:pPr>
          </w:p>
        </w:tc>
        <w:tc>
          <w:tcPr>
            <w:tcW w:w="2159" w:type="dxa"/>
            <w:vMerge/>
          </w:tcPr>
          <w:p w14:paraId="32C66F5C" w14:textId="77777777" w:rsidR="00F103BA" w:rsidRDefault="00F103BA" w:rsidP="00F103BA">
            <w:pPr>
              <w:spacing w:before="120" w:after="120"/>
            </w:pPr>
          </w:p>
        </w:tc>
      </w:tr>
      <w:tr w:rsidR="00F103BA" w14:paraId="7D899D20" w14:textId="77777777" w:rsidTr="00056B97">
        <w:trPr>
          <w:trHeight w:val="234"/>
        </w:trPr>
        <w:tc>
          <w:tcPr>
            <w:tcW w:w="2158" w:type="dxa"/>
            <w:vMerge w:val="restart"/>
          </w:tcPr>
          <w:p w14:paraId="7F5D7258" w14:textId="0C47C06D" w:rsidR="00F103BA" w:rsidRPr="0090107D" w:rsidRDefault="00384096" w:rsidP="00F103BA">
            <w:pPr>
              <w:spacing w:before="120" w:after="120"/>
              <w:rPr>
                <w:b/>
                <w:bCs/>
              </w:rPr>
            </w:pPr>
            <w:r>
              <w:rPr>
                <w:b/>
                <w:bCs/>
              </w:rPr>
              <w:t>System/</w:t>
            </w:r>
            <w:r w:rsidR="00F103BA" w:rsidRPr="0090107D">
              <w:rPr>
                <w:b/>
                <w:bCs/>
              </w:rPr>
              <w:t>Outage Information</w:t>
            </w:r>
            <w:r>
              <w:rPr>
                <w:b/>
                <w:bCs/>
              </w:rPr>
              <w:t xml:space="preserve"> Communications</w:t>
            </w:r>
          </w:p>
        </w:tc>
        <w:tc>
          <w:tcPr>
            <w:tcW w:w="2158" w:type="dxa"/>
          </w:tcPr>
          <w:p w14:paraId="3EF8959A" w14:textId="72A9D0E8" w:rsidR="00F103BA" w:rsidRDefault="00F103BA" w:rsidP="00F103BA">
            <w:pPr>
              <w:spacing w:before="120" w:after="120"/>
            </w:pPr>
            <w:r>
              <w:t>Distribution Utility</w:t>
            </w:r>
          </w:p>
        </w:tc>
        <w:tc>
          <w:tcPr>
            <w:tcW w:w="2158" w:type="dxa"/>
          </w:tcPr>
          <w:p w14:paraId="619003B1" w14:textId="760908D0" w:rsidR="00F103BA" w:rsidRDefault="00F103BA" w:rsidP="00F103BA">
            <w:pPr>
              <w:spacing w:before="120" w:after="120"/>
            </w:pPr>
            <w:r>
              <w:t>Aggregator</w:t>
            </w:r>
          </w:p>
        </w:tc>
        <w:tc>
          <w:tcPr>
            <w:tcW w:w="2158" w:type="dxa"/>
            <w:vMerge w:val="restart"/>
          </w:tcPr>
          <w:p w14:paraId="6CEA99D4" w14:textId="77777777" w:rsidR="00F103BA" w:rsidRDefault="00F103BA" w:rsidP="00F103BA">
            <w:pPr>
              <w:spacing w:before="120" w:after="120"/>
            </w:pPr>
          </w:p>
        </w:tc>
        <w:tc>
          <w:tcPr>
            <w:tcW w:w="2159" w:type="dxa"/>
            <w:vMerge w:val="restart"/>
          </w:tcPr>
          <w:p w14:paraId="7F1C55DE" w14:textId="77777777" w:rsidR="00F103BA" w:rsidRDefault="00F103BA" w:rsidP="00F103BA">
            <w:pPr>
              <w:spacing w:before="120" w:after="120"/>
            </w:pPr>
          </w:p>
        </w:tc>
        <w:tc>
          <w:tcPr>
            <w:tcW w:w="2159" w:type="dxa"/>
            <w:vMerge w:val="restart"/>
          </w:tcPr>
          <w:p w14:paraId="7D172F97" w14:textId="77777777" w:rsidR="00F103BA" w:rsidRDefault="00F103BA" w:rsidP="00F103BA">
            <w:pPr>
              <w:spacing w:before="120" w:after="120"/>
            </w:pPr>
          </w:p>
        </w:tc>
      </w:tr>
      <w:tr w:rsidR="00F103BA" w14:paraId="00827993" w14:textId="77777777" w:rsidTr="00056B97">
        <w:trPr>
          <w:trHeight w:val="234"/>
        </w:trPr>
        <w:tc>
          <w:tcPr>
            <w:tcW w:w="2158" w:type="dxa"/>
            <w:vMerge/>
          </w:tcPr>
          <w:p w14:paraId="61E6F2A8" w14:textId="77777777" w:rsidR="00F103BA" w:rsidRPr="0090107D" w:rsidRDefault="00F103BA" w:rsidP="00F103BA">
            <w:pPr>
              <w:spacing w:before="120" w:after="120"/>
              <w:rPr>
                <w:b/>
                <w:bCs/>
              </w:rPr>
            </w:pPr>
          </w:p>
        </w:tc>
        <w:tc>
          <w:tcPr>
            <w:tcW w:w="2158" w:type="dxa"/>
          </w:tcPr>
          <w:p w14:paraId="73F812BC" w14:textId="6DAEC396" w:rsidR="00F103BA" w:rsidRDefault="00F103BA" w:rsidP="00F103BA">
            <w:pPr>
              <w:spacing w:before="120" w:after="120"/>
            </w:pPr>
            <w:r>
              <w:t>Aggregator</w:t>
            </w:r>
          </w:p>
        </w:tc>
        <w:tc>
          <w:tcPr>
            <w:tcW w:w="2158" w:type="dxa"/>
          </w:tcPr>
          <w:p w14:paraId="0EF3B23B" w14:textId="381406CB" w:rsidR="00F103BA" w:rsidRDefault="00F103BA" w:rsidP="00F103BA">
            <w:pPr>
              <w:spacing w:before="120" w:after="120"/>
            </w:pPr>
            <w:r>
              <w:t>Distribution Utility</w:t>
            </w:r>
          </w:p>
        </w:tc>
        <w:tc>
          <w:tcPr>
            <w:tcW w:w="2158" w:type="dxa"/>
            <w:vMerge/>
          </w:tcPr>
          <w:p w14:paraId="360945B2" w14:textId="77777777" w:rsidR="00F103BA" w:rsidRDefault="00F103BA" w:rsidP="00F103BA">
            <w:pPr>
              <w:spacing w:before="120" w:after="120"/>
            </w:pPr>
          </w:p>
        </w:tc>
        <w:tc>
          <w:tcPr>
            <w:tcW w:w="2159" w:type="dxa"/>
            <w:vMerge/>
          </w:tcPr>
          <w:p w14:paraId="1CC3835A" w14:textId="77777777" w:rsidR="00F103BA" w:rsidRDefault="00F103BA" w:rsidP="00F103BA">
            <w:pPr>
              <w:spacing w:before="120" w:after="120"/>
            </w:pPr>
          </w:p>
        </w:tc>
        <w:tc>
          <w:tcPr>
            <w:tcW w:w="2159" w:type="dxa"/>
            <w:vMerge/>
          </w:tcPr>
          <w:p w14:paraId="1392C454" w14:textId="77777777" w:rsidR="00F103BA" w:rsidRDefault="00F103BA" w:rsidP="00F103BA">
            <w:pPr>
              <w:spacing w:before="120" w:after="120"/>
            </w:pPr>
          </w:p>
        </w:tc>
      </w:tr>
      <w:tr w:rsidR="00F103BA" w14:paraId="1F44A838" w14:textId="77777777" w:rsidTr="00056B97">
        <w:tc>
          <w:tcPr>
            <w:tcW w:w="2158" w:type="dxa"/>
          </w:tcPr>
          <w:p w14:paraId="6786C89B" w14:textId="39BBB8A0" w:rsidR="00F103BA" w:rsidRPr="0090107D" w:rsidRDefault="00F103BA" w:rsidP="00F103BA">
            <w:pPr>
              <w:spacing w:before="120" w:after="120"/>
              <w:rPr>
                <w:b/>
                <w:bCs/>
              </w:rPr>
            </w:pPr>
            <w:r w:rsidRPr="0090107D">
              <w:rPr>
                <w:b/>
                <w:bCs/>
              </w:rPr>
              <w:t>Aggregation Information</w:t>
            </w:r>
            <w:r w:rsidR="00384096">
              <w:rPr>
                <w:b/>
                <w:bCs/>
              </w:rPr>
              <w:t xml:space="preserve"> Communications</w:t>
            </w:r>
          </w:p>
        </w:tc>
        <w:tc>
          <w:tcPr>
            <w:tcW w:w="2158" w:type="dxa"/>
          </w:tcPr>
          <w:p w14:paraId="38CAD673" w14:textId="758EF631" w:rsidR="00F103BA" w:rsidRDefault="00F103BA" w:rsidP="00F103BA">
            <w:pPr>
              <w:spacing w:before="120" w:after="120"/>
            </w:pPr>
            <w:r>
              <w:t>Aggregator</w:t>
            </w:r>
          </w:p>
        </w:tc>
        <w:tc>
          <w:tcPr>
            <w:tcW w:w="2158" w:type="dxa"/>
          </w:tcPr>
          <w:p w14:paraId="5891C215" w14:textId="700D35DD" w:rsidR="00F103BA" w:rsidRDefault="00F103BA" w:rsidP="00F103BA">
            <w:pPr>
              <w:spacing w:before="120" w:after="120"/>
            </w:pPr>
            <w:r>
              <w:t>Distribution Utility</w:t>
            </w:r>
          </w:p>
        </w:tc>
        <w:tc>
          <w:tcPr>
            <w:tcW w:w="2158" w:type="dxa"/>
          </w:tcPr>
          <w:p w14:paraId="6ACF8455" w14:textId="77777777" w:rsidR="00F103BA" w:rsidRDefault="00F103BA" w:rsidP="00F103BA">
            <w:pPr>
              <w:spacing w:before="120" w:after="120"/>
            </w:pPr>
          </w:p>
        </w:tc>
        <w:tc>
          <w:tcPr>
            <w:tcW w:w="2159" w:type="dxa"/>
          </w:tcPr>
          <w:p w14:paraId="36148F84" w14:textId="77777777" w:rsidR="00F103BA" w:rsidRDefault="00F103BA" w:rsidP="00F103BA">
            <w:pPr>
              <w:spacing w:before="120" w:after="120"/>
            </w:pPr>
          </w:p>
        </w:tc>
        <w:tc>
          <w:tcPr>
            <w:tcW w:w="2159" w:type="dxa"/>
          </w:tcPr>
          <w:p w14:paraId="4DD27E50" w14:textId="77777777" w:rsidR="00F103BA" w:rsidRDefault="00F103BA" w:rsidP="00F103BA">
            <w:pPr>
              <w:spacing w:before="120" w:after="120"/>
            </w:pPr>
          </w:p>
        </w:tc>
      </w:tr>
      <w:tr w:rsidR="00F103BA" w14:paraId="4E7D26C8" w14:textId="77777777" w:rsidTr="00056B97">
        <w:tc>
          <w:tcPr>
            <w:tcW w:w="2158" w:type="dxa"/>
          </w:tcPr>
          <w:p w14:paraId="5A7679E6" w14:textId="5CD99C04" w:rsidR="00F103BA" w:rsidRPr="0090107D" w:rsidRDefault="00F103BA" w:rsidP="00F103BA">
            <w:pPr>
              <w:spacing w:before="120" w:after="120"/>
              <w:rPr>
                <w:b/>
                <w:bCs/>
              </w:rPr>
            </w:pPr>
            <w:r w:rsidRPr="0090107D">
              <w:rPr>
                <w:b/>
                <w:bCs/>
              </w:rPr>
              <w:t>Aggregation Availability</w:t>
            </w:r>
            <w:r>
              <w:rPr>
                <w:b/>
                <w:bCs/>
              </w:rPr>
              <w:t xml:space="preserve"> </w:t>
            </w:r>
            <w:r w:rsidR="00384096">
              <w:rPr>
                <w:b/>
                <w:bCs/>
              </w:rPr>
              <w:t>Communications</w:t>
            </w:r>
          </w:p>
        </w:tc>
        <w:tc>
          <w:tcPr>
            <w:tcW w:w="2158" w:type="dxa"/>
          </w:tcPr>
          <w:p w14:paraId="0E2F43C6" w14:textId="2BAEF5EE" w:rsidR="00F103BA" w:rsidRDefault="00F103BA" w:rsidP="00F103BA">
            <w:pPr>
              <w:spacing w:before="120" w:after="120"/>
            </w:pPr>
            <w:r>
              <w:t>Aggregator</w:t>
            </w:r>
          </w:p>
        </w:tc>
        <w:tc>
          <w:tcPr>
            <w:tcW w:w="2158" w:type="dxa"/>
          </w:tcPr>
          <w:p w14:paraId="4647C6E4" w14:textId="48957D85" w:rsidR="00F103BA" w:rsidRDefault="00F103BA" w:rsidP="00F103BA">
            <w:pPr>
              <w:spacing w:before="120" w:after="120"/>
            </w:pPr>
            <w:r>
              <w:t>Distribution Utility</w:t>
            </w:r>
          </w:p>
        </w:tc>
        <w:tc>
          <w:tcPr>
            <w:tcW w:w="2158" w:type="dxa"/>
          </w:tcPr>
          <w:p w14:paraId="4AA5E900" w14:textId="77777777" w:rsidR="00F103BA" w:rsidRDefault="00F103BA" w:rsidP="00F103BA">
            <w:pPr>
              <w:spacing w:before="120" w:after="120"/>
            </w:pPr>
          </w:p>
        </w:tc>
        <w:tc>
          <w:tcPr>
            <w:tcW w:w="2159" w:type="dxa"/>
          </w:tcPr>
          <w:p w14:paraId="59E88C7A" w14:textId="77777777" w:rsidR="00F103BA" w:rsidRDefault="00F103BA" w:rsidP="00F103BA">
            <w:pPr>
              <w:spacing w:before="120" w:after="120"/>
            </w:pPr>
          </w:p>
        </w:tc>
        <w:tc>
          <w:tcPr>
            <w:tcW w:w="2159" w:type="dxa"/>
          </w:tcPr>
          <w:p w14:paraId="4961F83D" w14:textId="77777777" w:rsidR="00F103BA" w:rsidRDefault="00F103BA" w:rsidP="00F103BA">
            <w:pPr>
              <w:spacing w:before="120" w:after="120"/>
            </w:pPr>
          </w:p>
        </w:tc>
      </w:tr>
    </w:tbl>
    <w:p w14:paraId="6BBA7BA1" w14:textId="77777777" w:rsidR="00056B97" w:rsidRDefault="00056B97" w:rsidP="00056B97">
      <w:pPr>
        <w:spacing w:before="120" w:after="120"/>
      </w:pPr>
    </w:p>
    <w:sectPr w:rsidR="00056B97" w:rsidSect="00056B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97"/>
    <w:rsid w:val="00056B97"/>
    <w:rsid w:val="000D5568"/>
    <w:rsid w:val="002A554A"/>
    <w:rsid w:val="0030236A"/>
    <w:rsid w:val="00384096"/>
    <w:rsid w:val="004D3869"/>
    <w:rsid w:val="00727092"/>
    <w:rsid w:val="00787DD6"/>
    <w:rsid w:val="007D5C67"/>
    <w:rsid w:val="0090107D"/>
    <w:rsid w:val="00AA660E"/>
    <w:rsid w:val="00AC2F7C"/>
    <w:rsid w:val="00AF1038"/>
    <w:rsid w:val="00DE4AA6"/>
    <w:rsid w:val="00F103BA"/>
    <w:rsid w:val="00FB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890"/>
  <w15:chartTrackingRefBased/>
  <w15:docId w15:val="{21D2E778-69D1-4FAA-B4CC-04E0A3A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Trum</dc:creator>
  <cp:keywords/>
  <dc:description/>
  <cp:lastModifiedBy>Caroline Trum</cp:lastModifiedBy>
  <cp:revision>5</cp:revision>
  <dcterms:created xsi:type="dcterms:W3CDTF">2024-11-12T16:26:00Z</dcterms:created>
  <dcterms:modified xsi:type="dcterms:W3CDTF">2024-11-18T18:45:00Z</dcterms:modified>
</cp:coreProperties>
</file>