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7088" w14:textId="4BC74278" w:rsidR="00BF65D1" w:rsidRPr="00E807A5" w:rsidRDefault="00BF65D1" w:rsidP="00E807A5">
      <w:pPr>
        <w:pStyle w:val="Heading1"/>
        <w:jc w:val="center"/>
      </w:pPr>
      <w:r w:rsidRPr="00E807A5">
        <w:t>Secure, Equitable Access to DER and Aggregation Data Through a Standardized Framework for DER Information Registries</w:t>
      </w:r>
    </w:p>
    <w:p w14:paraId="5A9BEB9E" w14:textId="77777777" w:rsidR="00BF65D1" w:rsidRPr="00E807A5" w:rsidRDefault="00BF65D1" w:rsidP="00BF65D1">
      <w:pPr>
        <w:spacing w:before="120" w:after="120"/>
        <w:jc w:val="center"/>
        <w:rPr>
          <w:rFonts w:ascii="Aptos Display" w:hAnsi="Aptos Display"/>
          <w:sz w:val="28"/>
          <w:szCs w:val="28"/>
        </w:rPr>
      </w:pPr>
      <w:r w:rsidRPr="00E807A5">
        <w:rPr>
          <w:rFonts w:ascii="Aptos Display" w:hAnsi="Aptos Display"/>
          <w:sz w:val="28"/>
          <w:szCs w:val="28"/>
        </w:rPr>
        <w:t>Concept Paper Framework</w:t>
      </w:r>
    </w:p>
    <w:p w14:paraId="2AAB00EA" w14:textId="77777777" w:rsidR="00BF65D1" w:rsidRPr="00E807A5" w:rsidRDefault="00BF65D1" w:rsidP="00E807A5">
      <w:pPr>
        <w:spacing w:before="100" w:beforeAutospacing="1" w:after="100" w:afterAutospacing="1"/>
        <w:jc w:val="both"/>
        <w:rPr>
          <w:rFonts w:ascii="Aptos Display" w:hAnsi="Aptos Display"/>
          <w:szCs w:val="20"/>
        </w:rPr>
      </w:pPr>
      <w:r w:rsidRPr="00E807A5">
        <w:rPr>
          <w:rFonts w:ascii="Aptos Display" w:hAnsi="Aptos Display"/>
          <w:szCs w:val="20"/>
        </w:rPr>
        <w:t xml:space="preserve">In April 2025, at the direction of the NAESB Board of Directors, wholesale and retail electric participants initiated a joint effort to consider the development of business practice standards to support the integration of distributed energy resource (DER) and aggregation registries by industry.  The joint work has been carried over to the current annual plans as 2026 WEQ Annual Plan Item 5.a / 2026 RMQ Annual Plan Item 2.a, with the WEQ and RMQ Business Practices Subcommittees holding [11] joint meetings to between April 2025 and February 2026.  </w:t>
      </w:r>
    </w:p>
    <w:p w14:paraId="7D4ED5CA" w14:textId="338483F0" w:rsidR="00BF65D1" w:rsidRPr="00E807A5" w:rsidRDefault="00BF65D1" w:rsidP="00E807A5">
      <w:pPr>
        <w:spacing w:before="100" w:beforeAutospacing="1" w:after="100" w:afterAutospacing="1"/>
        <w:jc w:val="both"/>
        <w:rPr>
          <w:rFonts w:ascii="Aptos Display" w:hAnsi="Aptos Display"/>
          <w:szCs w:val="20"/>
        </w:rPr>
      </w:pPr>
      <w:r w:rsidRPr="00E807A5">
        <w:rPr>
          <w:rFonts w:ascii="Aptos Display" w:hAnsi="Aptos Display"/>
          <w:szCs w:val="20"/>
        </w:rPr>
        <w:t xml:space="preserve">Initial discussions identified coordination challenges and gaps in DER and aggregation information sharing, leading the subcommittees to </w:t>
      </w:r>
      <w:r w:rsidR="00031573">
        <w:rPr>
          <w:rFonts w:ascii="Aptos Display" w:hAnsi="Aptos Display"/>
          <w:szCs w:val="20"/>
        </w:rPr>
        <w:t>determine use cases that would most likely meet</w:t>
      </w:r>
      <w:r w:rsidR="00031573" w:rsidRPr="00E807A5">
        <w:rPr>
          <w:rFonts w:ascii="Aptos Display" w:hAnsi="Aptos Display"/>
          <w:szCs w:val="20"/>
        </w:rPr>
        <w:t xml:space="preserve"> </w:t>
      </w:r>
      <w:r w:rsidRPr="00E807A5">
        <w:rPr>
          <w:rFonts w:ascii="Aptos Display" w:hAnsi="Aptos Display"/>
          <w:szCs w:val="20"/>
        </w:rPr>
        <w:t xml:space="preserve">industry needs where standardization would be supportive.  </w:t>
      </w:r>
      <w:r w:rsidR="00031573">
        <w:rPr>
          <w:rFonts w:ascii="Aptos Display" w:hAnsi="Aptos Display"/>
          <w:szCs w:val="20"/>
        </w:rPr>
        <w:t xml:space="preserve">From feedback through other channels, such as recent NERC work papers, the subcommittee recognizes </w:t>
      </w:r>
      <w:r w:rsidRPr="00E807A5">
        <w:rPr>
          <w:rFonts w:ascii="Aptos Display" w:hAnsi="Aptos Display"/>
          <w:szCs w:val="20"/>
        </w:rPr>
        <w:t>that centralized databases, designed to be interoperable with existing industry tools and processes, could help address some of these identified issues</w:t>
      </w:r>
      <w:r w:rsidR="00031573">
        <w:rPr>
          <w:rFonts w:ascii="Aptos Display" w:hAnsi="Aptos Display"/>
          <w:szCs w:val="20"/>
        </w:rPr>
        <w:t xml:space="preserve"> </w:t>
      </w:r>
      <w:proofErr w:type="gramStart"/>
      <w:r w:rsidR="00031573">
        <w:rPr>
          <w:rFonts w:ascii="Aptos Display" w:hAnsi="Aptos Display"/>
          <w:szCs w:val="20"/>
        </w:rPr>
        <w:t>through  a</w:t>
      </w:r>
      <w:proofErr w:type="gramEnd"/>
      <w:r w:rsidR="00031573">
        <w:rPr>
          <w:rFonts w:ascii="Aptos Display" w:hAnsi="Aptos Display"/>
          <w:szCs w:val="20"/>
        </w:rPr>
        <w:t xml:space="preserve"> </w:t>
      </w:r>
      <w:r w:rsidRPr="00E807A5">
        <w:rPr>
          <w:rFonts w:ascii="Aptos Display" w:hAnsi="Aptos Display"/>
          <w:szCs w:val="20"/>
        </w:rPr>
        <w:t>standardized registr</w:t>
      </w:r>
      <w:r w:rsidR="00031573">
        <w:rPr>
          <w:rFonts w:ascii="Aptos Display" w:hAnsi="Aptos Display"/>
          <w:szCs w:val="20"/>
        </w:rPr>
        <w:t xml:space="preserve">y </w:t>
      </w:r>
      <w:r w:rsidRPr="00E807A5">
        <w:rPr>
          <w:rFonts w:ascii="Aptos Display" w:hAnsi="Aptos Display"/>
          <w:szCs w:val="20"/>
        </w:rPr>
        <w:t xml:space="preserve">framework to facilitate equitable, secure access to DER and aggregation information.  </w:t>
      </w:r>
    </w:p>
    <w:p w14:paraId="730B545D" w14:textId="77777777" w:rsidR="00557EEE" w:rsidRPr="00E807A5" w:rsidRDefault="00557EEE" w:rsidP="00557EEE">
      <w:pPr>
        <w:spacing w:before="100" w:beforeAutospacing="1" w:after="100" w:afterAutospacing="1"/>
        <w:ind w:left="720"/>
        <w:jc w:val="both"/>
        <w:rPr>
          <w:rFonts w:ascii="Aptos Display" w:hAnsi="Aptos Display"/>
        </w:rPr>
      </w:pPr>
      <w:r w:rsidRPr="00E807A5">
        <w:rPr>
          <w:rFonts w:ascii="Aptos Display" w:hAnsi="Aptos Display"/>
        </w:rPr>
        <w:t xml:space="preserve">The NERC Transmission and Distribution Coordination Strategies White Paper identified DER registries as one mechanism to </w:t>
      </w:r>
      <w:r>
        <w:rPr>
          <w:rFonts w:ascii="Aptos Display" w:hAnsi="Aptos Display"/>
        </w:rPr>
        <w:t xml:space="preserve">enable uniform formatting requirements for users to </w:t>
      </w:r>
      <w:r w:rsidRPr="00E807A5">
        <w:rPr>
          <w:rFonts w:ascii="Aptos Display" w:hAnsi="Aptos Display"/>
        </w:rPr>
        <w:t xml:space="preserve">aid industry’s ability to obtain needed information and facilitate collaboration between electric participants.  </w:t>
      </w:r>
    </w:p>
    <w:p w14:paraId="14B06DD9" w14:textId="77777777" w:rsidR="00557EEE" w:rsidRDefault="00557EEE" w:rsidP="00557EEE">
      <w:pPr>
        <w:spacing w:before="100" w:beforeAutospacing="1" w:after="100" w:afterAutospacing="1"/>
        <w:ind w:left="720"/>
        <w:jc w:val="both"/>
        <w:rPr>
          <w:rFonts w:ascii="Aptos Display" w:hAnsi="Aptos Display"/>
        </w:rPr>
      </w:pPr>
      <w:r w:rsidRPr="00E807A5">
        <w:rPr>
          <w:rFonts w:ascii="Aptos Display" w:hAnsi="Aptos Display"/>
        </w:rPr>
        <w:t>The NERC Reducing DER Variability and Uncertainty Impacts on the Bulk Power System White Paper</w:t>
      </w:r>
      <w:r>
        <w:rPr>
          <w:rFonts w:ascii="Aptos Display" w:hAnsi="Aptos Display"/>
        </w:rPr>
        <w:t xml:space="preserve"> recognized the “breadth of stakeholders” has expanded and</w:t>
      </w:r>
      <w:r w:rsidRPr="00E807A5">
        <w:rPr>
          <w:rFonts w:ascii="Aptos Display" w:hAnsi="Aptos Display"/>
        </w:rPr>
        <w:t xml:space="preserve"> outlined methods to improve DER data collection and sharing and expanded on recommendations related to the use of DER registries and a common information model for information exchanges.  </w:t>
      </w:r>
    </w:p>
    <w:p w14:paraId="5BF675EE" w14:textId="119587D4" w:rsidR="007247D7" w:rsidRPr="00E807A5" w:rsidRDefault="00BF65D1" w:rsidP="00E807A5">
      <w:pPr>
        <w:spacing w:before="100" w:beforeAutospacing="1" w:after="100" w:afterAutospacing="1"/>
        <w:jc w:val="both"/>
        <w:rPr>
          <w:rFonts w:ascii="Aptos Display" w:hAnsi="Aptos Display"/>
        </w:rPr>
      </w:pPr>
      <w:r w:rsidRPr="00E807A5">
        <w:rPr>
          <w:rFonts w:ascii="Aptos Display" w:hAnsi="Aptos Display"/>
        </w:rPr>
        <w:t xml:space="preserve">The subcommittees </w:t>
      </w:r>
      <w:r w:rsidR="00557EEE">
        <w:rPr>
          <w:rFonts w:ascii="Aptos Display" w:hAnsi="Aptos Display"/>
        </w:rPr>
        <w:t xml:space="preserve">determined “a single source of truth” registry that could house more static operational characteristics of the individual DER and entity ownership as the best opportunity for standardization.  In the evaluation of </w:t>
      </w:r>
      <w:r w:rsidRPr="00E807A5">
        <w:rPr>
          <w:rFonts w:ascii="Aptos Display" w:hAnsi="Aptos Display"/>
        </w:rPr>
        <w:t>how best to establish a common registry structure</w:t>
      </w:r>
      <w:r w:rsidR="00557EEE">
        <w:rPr>
          <w:rFonts w:ascii="Aptos Display" w:hAnsi="Aptos Display"/>
        </w:rPr>
        <w:t xml:space="preserve"> we reflected that industry feedback is needed to determine the </w:t>
      </w:r>
      <w:r w:rsidRPr="00E807A5">
        <w:rPr>
          <w:rFonts w:ascii="Aptos Display" w:hAnsi="Aptos Display"/>
        </w:rPr>
        <w:t xml:space="preserve">relevant stakeholders </w:t>
      </w:r>
      <w:r w:rsidR="00557EEE">
        <w:rPr>
          <w:rFonts w:ascii="Aptos Display" w:hAnsi="Aptos Display"/>
        </w:rPr>
        <w:t>who would leverage or utilize this type of registry data</w:t>
      </w:r>
      <w:r w:rsidRPr="00E807A5">
        <w:rPr>
          <w:rFonts w:ascii="Aptos Display" w:hAnsi="Aptos Display"/>
        </w:rPr>
        <w:t xml:space="preserve">.  </w:t>
      </w:r>
    </w:p>
    <w:p w14:paraId="74AA9F9D" w14:textId="251064FD" w:rsidR="00007D55" w:rsidRPr="00E807A5" w:rsidRDefault="00736D23" w:rsidP="00DE1D32">
      <w:pPr>
        <w:spacing w:before="100" w:beforeAutospacing="1" w:after="100" w:afterAutospacing="1"/>
        <w:jc w:val="both"/>
        <w:rPr>
          <w:rFonts w:ascii="Aptos Display" w:hAnsi="Aptos Display"/>
        </w:rPr>
      </w:pPr>
      <w:r w:rsidRPr="00E807A5">
        <w:rPr>
          <w:rFonts w:ascii="Aptos Display" w:hAnsi="Aptos Display"/>
        </w:rPr>
        <w:t xml:space="preserve">Before proceeding, the WEQ/RMQ BPS Chairs want to </w:t>
      </w:r>
      <w:r w:rsidR="00E807A5">
        <w:rPr>
          <w:rFonts w:ascii="Aptos Display" w:hAnsi="Aptos Display"/>
        </w:rPr>
        <w:t xml:space="preserve">solicit feedback from industry to determine support and where such a registry would meet the needs of industry </w:t>
      </w:r>
      <w:r w:rsidRPr="00E807A5">
        <w:rPr>
          <w:rFonts w:ascii="Aptos Display" w:hAnsi="Aptos Display"/>
        </w:rPr>
        <w:t xml:space="preserve">help guide the next steps.  This Concept Paper </w:t>
      </w:r>
      <w:r w:rsidR="00A448FE" w:rsidRPr="00E807A5">
        <w:rPr>
          <w:rFonts w:ascii="Aptos Display" w:hAnsi="Aptos Display"/>
        </w:rPr>
        <w:t>describes the considerations that informed the WEQ/RMQ BPS discussions as well as details the proposed solution.  The intent is to provide information industry can use to provide responses to identified questions that will frame the path forward and guide any subsequent standards development.</w:t>
      </w:r>
    </w:p>
    <w:p w14:paraId="5982F481" w14:textId="7DB70962" w:rsidR="00A448FE" w:rsidRPr="00E807A5" w:rsidRDefault="00A448FE" w:rsidP="00E807A5">
      <w:pPr>
        <w:pStyle w:val="ListParagraph"/>
        <w:numPr>
          <w:ilvl w:val="0"/>
          <w:numId w:val="1"/>
        </w:numPr>
        <w:spacing w:before="100" w:beforeAutospacing="1" w:after="100" w:afterAutospacing="1"/>
        <w:jc w:val="both"/>
        <w:rPr>
          <w:rFonts w:ascii="Aptos Display" w:hAnsi="Aptos Display"/>
        </w:rPr>
      </w:pPr>
      <w:r w:rsidRPr="00E807A5">
        <w:rPr>
          <w:rFonts w:ascii="Aptos Display" w:hAnsi="Aptos Display"/>
        </w:rPr>
        <w:t>Problem Statement</w:t>
      </w:r>
    </w:p>
    <w:p w14:paraId="286ABB4F" w14:textId="7A483CA1" w:rsidR="00A448FE" w:rsidRPr="00E807A5" w:rsidRDefault="00A448FE" w:rsidP="00E807A5">
      <w:pPr>
        <w:pStyle w:val="ListParagraph"/>
        <w:numPr>
          <w:ilvl w:val="1"/>
          <w:numId w:val="1"/>
        </w:numPr>
        <w:tabs>
          <w:tab w:val="left" w:pos="3960"/>
        </w:tabs>
        <w:spacing w:before="100" w:beforeAutospacing="1" w:after="100" w:afterAutospacing="1"/>
        <w:jc w:val="both"/>
        <w:rPr>
          <w:rFonts w:ascii="Aptos Display" w:hAnsi="Aptos Display"/>
        </w:rPr>
      </w:pPr>
      <w:r w:rsidRPr="00E807A5">
        <w:rPr>
          <w:rFonts w:ascii="Aptos Display" w:hAnsi="Aptos Display"/>
        </w:rPr>
        <w:t>Description of Status Quo</w:t>
      </w:r>
    </w:p>
    <w:p w14:paraId="10F9392E" w14:textId="2A62D757" w:rsidR="00637744" w:rsidRPr="00E807A5" w:rsidRDefault="00A448FE" w:rsidP="00E807A5">
      <w:pPr>
        <w:pStyle w:val="ListParagraph"/>
        <w:numPr>
          <w:ilvl w:val="1"/>
          <w:numId w:val="1"/>
        </w:numPr>
        <w:tabs>
          <w:tab w:val="left" w:pos="3960"/>
        </w:tabs>
        <w:spacing w:before="100" w:beforeAutospacing="1" w:after="100" w:afterAutospacing="1"/>
        <w:jc w:val="both"/>
        <w:rPr>
          <w:rFonts w:ascii="Aptos Display" w:hAnsi="Aptos Display"/>
        </w:rPr>
      </w:pPr>
      <w:r w:rsidRPr="00E807A5">
        <w:rPr>
          <w:rFonts w:ascii="Aptos Display" w:hAnsi="Aptos Display"/>
        </w:rPr>
        <w:t>Challenges and Gaps Identified Through Discussions</w:t>
      </w:r>
    </w:p>
    <w:p w14:paraId="0C0A9D2F" w14:textId="2F1F2899" w:rsidR="005C71AA" w:rsidRPr="00E807A5" w:rsidRDefault="005C71AA" w:rsidP="00E807A5">
      <w:pPr>
        <w:pStyle w:val="ListParagraph"/>
        <w:numPr>
          <w:ilvl w:val="2"/>
          <w:numId w:val="1"/>
        </w:numPr>
        <w:tabs>
          <w:tab w:val="left" w:pos="3960"/>
        </w:tabs>
        <w:spacing w:before="100" w:beforeAutospacing="1" w:after="100" w:afterAutospacing="1"/>
        <w:jc w:val="both"/>
        <w:rPr>
          <w:rFonts w:ascii="Aptos Display" w:hAnsi="Aptos Display"/>
        </w:rPr>
      </w:pPr>
      <w:r w:rsidRPr="00E807A5">
        <w:rPr>
          <w:rFonts w:ascii="Aptos Display" w:hAnsi="Aptos Display"/>
        </w:rPr>
        <w:t>Gaps in information collection, sharing and verification practices and coordination challenges</w:t>
      </w:r>
    </w:p>
    <w:p w14:paraId="1CC78960" w14:textId="00FEF4FD" w:rsidR="005C71AA" w:rsidRPr="00E807A5" w:rsidRDefault="005C71AA" w:rsidP="00E807A5">
      <w:pPr>
        <w:pStyle w:val="ListParagraph"/>
        <w:numPr>
          <w:ilvl w:val="2"/>
          <w:numId w:val="1"/>
        </w:numPr>
        <w:tabs>
          <w:tab w:val="left" w:pos="3960"/>
        </w:tabs>
        <w:spacing w:before="100" w:beforeAutospacing="1" w:after="100" w:afterAutospacing="1"/>
        <w:jc w:val="both"/>
        <w:rPr>
          <w:rFonts w:ascii="Aptos Display" w:hAnsi="Aptos Display"/>
          <w:u w:val="single"/>
        </w:rPr>
      </w:pPr>
      <w:r w:rsidRPr="00E807A5">
        <w:rPr>
          <w:rFonts w:ascii="Aptos Display" w:hAnsi="Aptos Display"/>
        </w:rPr>
        <w:t xml:space="preserve">DER and aggregation data needs to support various commercial and operational processes, including (1) DER registration and aggregation processes, (2) scheduling and operations, (3) </w:t>
      </w:r>
      <w:r w:rsidRPr="00E807A5">
        <w:rPr>
          <w:rFonts w:ascii="Aptos Display" w:hAnsi="Aptos Display"/>
        </w:rPr>
        <w:lastRenderedPageBreak/>
        <w:t>performance validation and settlements, (4) change management, (5) regulatory compliance and reporting efforts (FERC Order No. 2222, FERC Order No. 901</w:t>
      </w:r>
    </w:p>
    <w:p w14:paraId="1D9AD411" w14:textId="23A4F652" w:rsidR="00A448FE" w:rsidRPr="00E807A5" w:rsidRDefault="00A448FE" w:rsidP="00E807A5">
      <w:pPr>
        <w:pStyle w:val="ListParagraph"/>
        <w:numPr>
          <w:ilvl w:val="0"/>
          <w:numId w:val="1"/>
        </w:numPr>
        <w:spacing w:before="100" w:beforeAutospacing="1" w:after="100" w:afterAutospacing="1"/>
        <w:jc w:val="both"/>
        <w:rPr>
          <w:rFonts w:ascii="Aptos Display" w:hAnsi="Aptos Display"/>
        </w:rPr>
      </w:pPr>
      <w:r w:rsidRPr="00E807A5">
        <w:rPr>
          <w:rFonts w:ascii="Aptos Display" w:hAnsi="Aptos Display"/>
        </w:rPr>
        <w:t>Current Proposed Solution: Overarching DER Entity Registry and DER Device and Aggregation Registries</w:t>
      </w:r>
    </w:p>
    <w:p w14:paraId="3B9EE055" w14:textId="1BAC60A1" w:rsidR="005C71AA" w:rsidRPr="00E807A5" w:rsidRDefault="005C71AA" w:rsidP="00E807A5">
      <w:pPr>
        <w:pStyle w:val="ListParagraph"/>
        <w:numPr>
          <w:ilvl w:val="1"/>
          <w:numId w:val="1"/>
        </w:numPr>
        <w:spacing w:before="100" w:beforeAutospacing="1" w:after="100" w:afterAutospacing="1"/>
        <w:jc w:val="both"/>
        <w:rPr>
          <w:rFonts w:ascii="Aptos Display" w:hAnsi="Aptos Display"/>
        </w:rPr>
      </w:pPr>
      <w:r w:rsidRPr="00E807A5">
        <w:rPr>
          <w:rFonts w:ascii="Aptos Display" w:hAnsi="Aptos Display"/>
        </w:rPr>
        <w:t>High-Level Overview</w:t>
      </w:r>
    </w:p>
    <w:p w14:paraId="073970E1" w14:textId="4AE97C67" w:rsidR="005C71AA" w:rsidRPr="00E807A5" w:rsidRDefault="005C71AA" w:rsidP="00E807A5">
      <w:pPr>
        <w:pStyle w:val="ListParagraph"/>
        <w:numPr>
          <w:ilvl w:val="1"/>
          <w:numId w:val="1"/>
        </w:numPr>
        <w:spacing w:before="100" w:beforeAutospacing="1" w:after="100" w:afterAutospacing="1"/>
        <w:jc w:val="both"/>
        <w:rPr>
          <w:rFonts w:ascii="Aptos Display" w:hAnsi="Aptos Display"/>
        </w:rPr>
      </w:pPr>
      <w:r w:rsidRPr="00E807A5">
        <w:rPr>
          <w:rFonts w:ascii="Aptos Display" w:hAnsi="Aptos Display"/>
        </w:rPr>
        <w:t>Interoperability with Industry Tools and Processes</w:t>
      </w:r>
    </w:p>
    <w:p w14:paraId="5E9E44CD" w14:textId="71E629AA" w:rsidR="005C71AA" w:rsidRPr="00E807A5" w:rsidRDefault="005C71AA" w:rsidP="00E807A5">
      <w:pPr>
        <w:pStyle w:val="ListParagraph"/>
        <w:numPr>
          <w:ilvl w:val="1"/>
          <w:numId w:val="1"/>
        </w:numPr>
        <w:spacing w:before="100" w:beforeAutospacing="1" w:after="100" w:afterAutospacing="1"/>
        <w:jc w:val="both"/>
        <w:rPr>
          <w:rFonts w:ascii="Aptos Display" w:hAnsi="Aptos Display"/>
        </w:rPr>
      </w:pPr>
      <w:r w:rsidRPr="00E807A5">
        <w:rPr>
          <w:rFonts w:ascii="Aptos Display" w:hAnsi="Aptos Display"/>
        </w:rPr>
        <w:t>Detailed DER Entity Registry Description</w:t>
      </w:r>
    </w:p>
    <w:p w14:paraId="3F07032A" w14:textId="0C5048BE" w:rsidR="004A0C85" w:rsidRPr="00E807A5" w:rsidRDefault="00EE31A3" w:rsidP="00E807A5">
      <w:pPr>
        <w:pStyle w:val="ListParagraph"/>
        <w:numPr>
          <w:ilvl w:val="2"/>
          <w:numId w:val="1"/>
        </w:numPr>
        <w:spacing w:before="100" w:beforeAutospacing="1" w:after="100" w:afterAutospacing="1"/>
        <w:jc w:val="both"/>
        <w:rPr>
          <w:rFonts w:ascii="Aptos Display" w:hAnsi="Aptos Display"/>
        </w:rPr>
      </w:pPr>
      <w:r w:rsidRPr="00E807A5">
        <w:rPr>
          <w:rFonts w:ascii="Aptos Display" w:hAnsi="Aptos Display"/>
        </w:rPr>
        <w:t>Supported Entity Roles (e.g., device owner, supplier, scheduling entity, etc.)</w:t>
      </w:r>
    </w:p>
    <w:p w14:paraId="2B324CD8" w14:textId="080859FC" w:rsidR="00EE31A3" w:rsidRPr="00E807A5" w:rsidRDefault="00EE31A3" w:rsidP="00E807A5">
      <w:pPr>
        <w:pStyle w:val="ListParagraph"/>
        <w:numPr>
          <w:ilvl w:val="2"/>
          <w:numId w:val="1"/>
        </w:numPr>
        <w:spacing w:before="100" w:beforeAutospacing="1" w:after="100" w:afterAutospacing="1"/>
        <w:jc w:val="both"/>
        <w:rPr>
          <w:rFonts w:ascii="Aptos Display" w:hAnsi="Aptos Display"/>
        </w:rPr>
      </w:pPr>
      <w:r w:rsidRPr="00E807A5">
        <w:rPr>
          <w:rFonts w:ascii="Aptos Display" w:hAnsi="Aptos Display"/>
        </w:rPr>
        <w:t>Entity functional capabilities (e.g., agent, authority, observer, etc.)</w:t>
      </w:r>
    </w:p>
    <w:p w14:paraId="1D708876" w14:textId="6B1AB2E4" w:rsidR="005C71AA" w:rsidRPr="00E807A5" w:rsidRDefault="005C71AA" w:rsidP="00E807A5">
      <w:pPr>
        <w:pStyle w:val="ListParagraph"/>
        <w:numPr>
          <w:ilvl w:val="1"/>
          <w:numId w:val="1"/>
        </w:numPr>
        <w:spacing w:before="100" w:beforeAutospacing="1" w:after="100" w:afterAutospacing="1"/>
        <w:jc w:val="both"/>
        <w:rPr>
          <w:rFonts w:ascii="Aptos Display" w:hAnsi="Aptos Display"/>
        </w:rPr>
      </w:pPr>
      <w:r w:rsidRPr="00E807A5">
        <w:rPr>
          <w:rFonts w:ascii="Aptos Display" w:hAnsi="Aptos Display"/>
        </w:rPr>
        <w:t xml:space="preserve">Detailed DER Device and Aggregation Registries Description </w:t>
      </w:r>
    </w:p>
    <w:p w14:paraId="5813A214" w14:textId="5A31A9E7" w:rsidR="00EE31A3" w:rsidRPr="00E807A5" w:rsidRDefault="00EE31A3" w:rsidP="00E807A5">
      <w:pPr>
        <w:pStyle w:val="ListParagraph"/>
        <w:numPr>
          <w:ilvl w:val="2"/>
          <w:numId w:val="1"/>
        </w:numPr>
        <w:spacing w:before="100" w:beforeAutospacing="1" w:after="100" w:afterAutospacing="1"/>
        <w:jc w:val="both"/>
        <w:rPr>
          <w:rFonts w:ascii="Aptos Display" w:hAnsi="Aptos Display"/>
        </w:rPr>
      </w:pPr>
      <w:r w:rsidRPr="00E807A5">
        <w:rPr>
          <w:rFonts w:ascii="Aptos Display" w:hAnsi="Aptos Display"/>
        </w:rPr>
        <w:t>Data categories</w:t>
      </w:r>
    </w:p>
    <w:p w14:paraId="7B4BD54F" w14:textId="11F4C371" w:rsidR="00A448FE" w:rsidRPr="00E807A5" w:rsidRDefault="00A448FE" w:rsidP="00E807A5">
      <w:pPr>
        <w:pStyle w:val="ListParagraph"/>
        <w:numPr>
          <w:ilvl w:val="0"/>
          <w:numId w:val="1"/>
        </w:numPr>
        <w:spacing w:before="100" w:beforeAutospacing="1" w:after="100" w:afterAutospacing="1"/>
        <w:jc w:val="both"/>
        <w:rPr>
          <w:rFonts w:ascii="Aptos Display" w:hAnsi="Aptos Display"/>
        </w:rPr>
      </w:pPr>
      <w:r w:rsidRPr="00E807A5">
        <w:rPr>
          <w:rFonts w:ascii="Aptos Display" w:hAnsi="Aptos Display"/>
        </w:rPr>
        <w:t>Areas of Needed Industry Feedback</w:t>
      </w:r>
    </w:p>
    <w:p w14:paraId="39424A42" w14:textId="77777777" w:rsidR="00A448FE" w:rsidRPr="00E807A5" w:rsidRDefault="00A448FE" w:rsidP="00736D23">
      <w:pPr>
        <w:spacing w:before="120" w:after="120"/>
        <w:jc w:val="both"/>
        <w:rPr>
          <w:rFonts w:ascii="Aptos Display" w:hAnsi="Aptos Display"/>
        </w:rPr>
      </w:pPr>
    </w:p>
    <w:sectPr w:rsidR="00A448FE" w:rsidRPr="00E80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2AF"/>
    <w:multiLevelType w:val="hybridMultilevel"/>
    <w:tmpl w:val="23E45FB6"/>
    <w:lvl w:ilvl="0" w:tplc="D1FC4C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B4E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9895407">
    <w:abstractNumId w:val="0"/>
  </w:num>
  <w:num w:numId="2" w16cid:durableId="425688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D1"/>
    <w:rsid w:val="00007D55"/>
    <w:rsid w:val="00031573"/>
    <w:rsid w:val="001F4CE4"/>
    <w:rsid w:val="00246DB2"/>
    <w:rsid w:val="002A554A"/>
    <w:rsid w:val="00395354"/>
    <w:rsid w:val="00430EB7"/>
    <w:rsid w:val="004A0C85"/>
    <w:rsid w:val="004D3869"/>
    <w:rsid w:val="00557EEE"/>
    <w:rsid w:val="005C71AA"/>
    <w:rsid w:val="00637744"/>
    <w:rsid w:val="00717314"/>
    <w:rsid w:val="007247D7"/>
    <w:rsid w:val="00736D23"/>
    <w:rsid w:val="00784E6E"/>
    <w:rsid w:val="007A4168"/>
    <w:rsid w:val="007D5C67"/>
    <w:rsid w:val="009276FA"/>
    <w:rsid w:val="00A448FE"/>
    <w:rsid w:val="00AE2131"/>
    <w:rsid w:val="00BF65D1"/>
    <w:rsid w:val="00C00E12"/>
    <w:rsid w:val="00C10968"/>
    <w:rsid w:val="00CE264A"/>
    <w:rsid w:val="00D22B68"/>
    <w:rsid w:val="00DE1D32"/>
    <w:rsid w:val="00DE4AA6"/>
    <w:rsid w:val="00E807A5"/>
    <w:rsid w:val="00EE31A3"/>
    <w:rsid w:val="00F9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6BDC"/>
  <w15:chartTrackingRefBased/>
  <w15:docId w15:val="{1B4019E0-34FB-40E7-A150-7161922F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D1"/>
  </w:style>
  <w:style w:type="paragraph" w:styleId="Heading1">
    <w:name w:val="heading 1"/>
    <w:basedOn w:val="Normal"/>
    <w:next w:val="Normal"/>
    <w:link w:val="Heading1Char"/>
    <w:uiPriority w:val="9"/>
    <w:qFormat/>
    <w:rsid w:val="00BF6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5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5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65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65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65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65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65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5D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5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65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65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65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65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65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6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5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5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65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65D1"/>
    <w:rPr>
      <w:i/>
      <w:iCs/>
      <w:color w:val="404040" w:themeColor="text1" w:themeTint="BF"/>
    </w:rPr>
  </w:style>
  <w:style w:type="paragraph" w:styleId="ListParagraph">
    <w:name w:val="List Paragraph"/>
    <w:basedOn w:val="Normal"/>
    <w:uiPriority w:val="34"/>
    <w:qFormat/>
    <w:rsid w:val="00BF65D1"/>
    <w:pPr>
      <w:ind w:left="720"/>
      <w:contextualSpacing/>
    </w:pPr>
  </w:style>
  <w:style w:type="character" w:styleId="IntenseEmphasis">
    <w:name w:val="Intense Emphasis"/>
    <w:basedOn w:val="DefaultParagraphFont"/>
    <w:uiPriority w:val="21"/>
    <w:qFormat/>
    <w:rsid w:val="00BF65D1"/>
    <w:rPr>
      <w:i/>
      <w:iCs/>
      <w:color w:val="2F5496" w:themeColor="accent1" w:themeShade="BF"/>
    </w:rPr>
  </w:style>
  <w:style w:type="paragraph" w:styleId="IntenseQuote">
    <w:name w:val="Intense Quote"/>
    <w:basedOn w:val="Normal"/>
    <w:next w:val="Normal"/>
    <w:link w:val="IntenseQuoteChar"/>
    <w:uiPriority w:val="30"/>
    <w:qFormat/>
    <w:rsid w:val="00BF6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5D1"/>
    <w:rPr>
      <w:i/>
      <w:iCs/>
      <w:color w:val="2F5496" w:themeColor="accent1" w:themeShade="BF"/>
    </w:rPr>
  </w:style>
  <w:style w:type="character" w:styleId="IntenseReference">
    <w:name w:val="Intense Reference"/>
    <w:basedOn w:val="DefaultParagraphFont"/>
    <w:uiPriority w:val="32"/>
    <w:qFormat/>
    <w:rsid w:val="00BF65D1"/>
    <w:rPr>
      <w:b/>
      <w:bCs/>
      <w:smallCaps/>
      <w:color w:val="2F5496" w:themeColor="accent1" w:themeShade="BF"/>
      <w:spacing w:val="5"/>
    </w:rPr>
  </w:style>
  <w:style w:type="paragraph" w:styleId="Revision">
    <w:name w:val="Revision"/>
    <w:hidden/>
    <w:uiPriority w:val="99"/>
    <w:semiHidden/>
    <w:rsid w:val="00E807A5"/>
  </w:style>
  <w:style w:type="character" w:styleId="CommentReference">
    <w:name w:val="annotation reference"/>
    <w:basedOn w:val="DefaultParagraphFont"/>
    <w:uiPriority w:val="99"/>
    <w:semiHidden/>
    <w:unhideWhenUsed/>
    <w:rsid w:val="00557EEE"/>
    <w:rPr>
      <w:sz w:val="16"/>
      <w:szCs w:val="16"/>
    </w:rPr>
  </w:style>
  <w:style w:type="paragraph" w:styleId="CommentText">
    <w:name w:val="annotation text"/>
    <w:basedOn w:val="Normal"/>
    <w:link w:val="CommentTextChar"/>
    <w:uiPriority w:val="99"/>
    <w:unhideWhenUsed/>
    <w:rsid w:val="00557EEE"/>
    <w:rPr>
      <w:szCs w:val="20"/>
    </w:rPr>
  </w:style>
  <w:style w:type="character" w:customStyle="1" w:styleId="CommentTextChar">
    <w:name w:val="Comment Text Char"/>
    <w:basedOn w:val="DefaultParagraphFont"/>
    <w:link w:val="CommentText"/>
    <w:uiPriority w:val="99"/>
    <w:rsid w:val="00557EEE"/>
    <w:rPr>
      <w:szCs w:val="20"/>
    </w:rPr>
  </w:style>
  <w:style w:type="paragraph" w:styleId="CommentSubject">
    <w:name w:val="annotation subject"/>
    <w:basedOn w:val="CommentText"/>
    <w:next w:val="CommentText"/>
    <w:link w:val="CommentSubjectChar"/>
    <w:uiPriority w:val="99"/>
    <w:semiHidden/>
    <w:unhideWhenUsed/>
    <w:rsid w:val="00557EEE"/>
    <w:rPr>
      <w:b/>
      <w:bCs/>
    </w:rPr>
  </w:style>
  <w:style w:type="character" w:customStyle="1" w:styleId="CommentSubjectChar">
    <w:name w:val="Comment Subject Char"/>
    <w:basedOn w:val="CommentTextChar"/>
    <w:link w:val="CommentSubject"/>
    <w:uiPriority w:val="99"/>
    <w:semiHidden/>
    <w:rsid w:val="00557EEE"/>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692091-66b8-45b5-9087-387cbcef98ca}" enabled="1" method="Privileged" siteId="{3230926a-71b7-4370-a137-197badc066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 Chairs</dc:creator>
  <cp:keywords/>
  <dc:description/>
  <cp:lastModifiedBy>BPS Chairs</cp:lastModifiedBy>
  <cp:revision>3</cp:revision>
  <dcterms:created xsi:type="dcterms:W3CDTF">2026-02-03T17:00:00Z</dcterms:created>
  <dcterms:modified xsi:type="dcterms:W3CDTF">2026-02-03T17:01:00Z</dcterms:modified>
</cp:coreProperties>
</file>