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7B877" w14:textId="5982AD43" w:rsidR="001F0527" w:rsidRDefault="001F0527" w:rsidP="001F0527">
      <w:pPr>
        <w:rPr>
          <w:rFonts w:eastAsia="Times New Roman"/>
        </w:rPr>
      </w:pPr>
      <w:bookmarkStart w:id="0" w:name="_MailOriginal"/>
      <w:r>
        <w:rPr>
          <w:rFonts w:eastAsia="Times New Roman"/>
          <w:b/>
          <w:bCs/>
        </w:rPr>
        <w:t>From:</w:t>
      </w:r>
      <w:r>
        <w:rPr>
          <w:rFonts w:eastAsia="Times New Roman"/>
        </w:rPr>
        <w:t xml:space="preserve"> Avallone, Ethan D </w:t>
      </w:r>
      <w:r w:rsidR="00A66E20">
        <w:rPr>
          <w:rFonts w:eastAsia="Times New Roman"/>
        </w:rPr>
        <w:t>- NYISO</w:t>
      </w:r>
      <w:r>
        <w:rPr>
          <w:rFonts w:eastAsia="Times New Roman"/>
        </w:rPr>
        <w:t xml:space="preserve"> </w:t>
      </w:r>
      <w:r>
        <w:rPr>
          <w:rFonts w:eastAsia="Times New Roman"/>
        </w:rPr>
        <w:br/>
      </w:r>
      <w:r>
        <w:rPr>
          <w:rFonts w:eastAsia="Times New Roman"/>
          <w:b/>
          <w:bCs/>
        </w:rPr>
        <w:t>Sent:</w:t>
      </w:r>
      <w:r>
        <w:rPr>
          <w:rFonts w:eastAsia="Times New Roman"/>
        </w:rPr>
        <w:t xml:space="preserve"> Monday, February 19, 2024 3:13 PM</w:t>
      </w:r>
      <w:r>
        <w:rPr>
          <w:rFonts w:eastAsia="Times New Roman"/>
        </w:rPr>
        <w:br/>
      </w:r>
      <w:r>
        <w:rPr>
          <w:rFonts w:eastAsia="Times New Roman"/>
          <w:b/>
          <w:bCs/>
        </w:rPr>
        <w:t>To:</w:t>
      </w:r>
      <w:r>
        <w:rPr>
          <w:rFonts w:eastAsia="Times New Roman"/>
        </w:rPr>
        <w:t xml:space="preserve"> naesb &lt;naesb@naesb.org&gt;</w:t>
      </w:r>
      <w:r>
        <w:rPr>
          <w:rFonts w:eastAsia="Times New Roman"/>
        </w:rPr>
        <w:br/>
      </w:r>
      <w:r>
        <w:rPr>
          <w:rFonts w:eastAsia="Times New Roman"/>
          <w:b/>
          <w:bCs/>
        </w:rPr>
        <w:t>Subject:</w:t>
      </w:r>
      <w:r>
        <w:rPr>
          <w:rFonts w:eastAsia="Times New Roman"/>
        </w:rPr>
        <w:t xml:space="preserve"> FW: [EXT] Agenda - NAESB Joint WEQ and RMQ Business Practices Subcommittees (BPS) Conference Call w/Web Cast – March 12, 2024</w:t>
      </w:r>
    </w:p>
    <w:p w14:paraId="273C869F" w14:textId="77777777" w:rsidR="001F0527" w:rsidRDefault="001F0527" w:rsidP="001F0527"/>
    <w:p w14:paraId="58054FFC" w14:textId="77777777" w:rsidR="001F0527" w:rsidRDefault="001F0527" w:rsidP="001F0527">
      <w:pPr>
        <w:rPr>
          <w:rFonts w:ascii="Times New Roman" w:eastAsia="Times New Roman" w:hAnsi="Times New Roman" w:cs="Times New Roman"/>
          <w:sz w:val="24"/>
          <w:szCs w:val="24"/>
        </w:rPr>
      </w:pPr>
      <w:r>
        <w:rPr>
          <w:rFonts w:eastAsia="Times New Roman"/>
        </w:rPr>
        <w:t>Hello,</w:t>
      </w:r>
    </w:p>
    <w:p w14:paraId="5EDA68A9" w14:textId="77777777" w:rsidR="001F0527" w:rsidRDefault="001F0527" w:rsidP="001F0527">
      <w:pPr>
        <w:rPr>
          <w:rFonts w:ascii="Times New Roman" w:eastAsia="Times New Roman" w:hAnsi="Times New Roman" w:cs="Times New Roman"/>
          <w:sz w:val="24"/>
          <w:szCs w:val="24"/>
        </w:rPr>
      </w:pPr>
      <w:r>
        <w:rPr>
          <w:rFonts w:eastAsia="Times New Roman"/>
        </w:rPr>
        <w:t>The NYISO has developed rules for our own Distributed Energy Resources (DER) participation model, which is still pending before FERC.</w:t>
      </w:r>
    </w:p>
    <w:p w14:paraId="7BEE0DBB" w14:textId="77777777" w:rsidR="001F0527" w:rsidRDefault="001F0527" w:rsidP="001F0527">
      <w:pPr>
        <w:rPr>
          <w:rFonts w:ascii="Times New Roman" w:eastAsia="Times New Roman" w:hAnsi="Times New Roman" w:cs="Times New Roman"/>
          <w:sz w:val="24"/>
          <w:szCs w:val="24"/>
        </w:rPr>
      </w:pPr>
      <w:r>
        <w:rPr>
          <w:rFonts w:eastAsia="Times New Roman"/>
        </w:rPr>
        <w:br/>
        <w:t>My understanding is that your effort outlined in the email below is specific to the interaction between the utility and the DER aggregator. I am providing a link to the NYISO's Aggregation Manual below, as section 6. "Operational Coordination" outlines cases where the DER aggregator and the utility may need to communicate with each other under the NYISO's rules. This section may be relevant to your efforts to develop a standardized distribution services contract for DER aggregations.</w:t>
      </w:r>
    </w:p>
    <w:p w14:paraId="7691C62D" w14:textId="77777777" w:rsidR="001F0527" w:rsidRDefault="001F0527" w:rsidP="001F0527">
      <w:pPr>
        <w:rPr>
          <w:rFonts w:ascii="Times New Roman" w:eastAsia="Times New Roman" w:hAnsi="Times New Roman" w:cs="Times New Roman"/>
          <w:sz w:val="24"/>
          <w:szCs w:val="24"/>
        </w:rPr>
      </w:pPr>
      <w:r>
        <w:rPr>
          <w:rFonts w:eastAsia="Times New Roman"/>
        </w:rPr>
        <w:t> </w:t>
      </w:r>
    </w:p>
    <w:p w14:paraId="516CA74E" w14:textId="77777777" w:rsidR="001F0527" w:rsidRDefault="001F0527" w:rsidP="001F0527">
      <w:pPr>
        <w:rPr>
          <w:rFonts w:ascii="Times New Roman" w:eastAsia="Times New Roman" w:hAnsi="Times New Roman" w:cs="Times New Roman"/>
          <w:sz w:val="24"/>
          <w:szCs w:val="24"/>
        </w:rPr>
      </w:pPr>
      <w:hyperlink r:id="rId4" w:history="1">
        <w:r>
          <w:rPr>
            <w:rStyle w:val="Hyperlink"/>
            <w:rFonts w:eastAsia="Times New Roman"/>
            <w:color w:val="0563C1"/>
          </w:rPr>
          <w:t>https://www.nyiso.com/documents/20142/2925061/M-XX-Aggregation-Manual-DRAFT-Incremental-Clean.pdf/f5fa7d59-c401-f47a-b00f-6a85100159d0</w:t>
        </w:r>
      </w:hyperlink>
    </w:p>
    <w:p w14:paraId="505B3806" w14:textId="77777777" w:rsidR="001F0527" w:rsidRDefault="001F0527" w:rsidP="001F0527">
      <w:pPr>
        <w:rPr>
          <w:rFonts w:ascii="Times New Roman" w:eastAsia="Times New Roman" w:hAnsi="Times New Roman" w:cs="Times New Roman"/>
          <w:sz w:val="24"/>
          <w:szCs w:val="24"/>
        </w:rPr>
      </w:pPr>
      <w:r>
        <w:rPr>
          <w:rFonts w:eastAsia="Times New Roman"/>
        </w:rPr>
        <w:t> </w:t>
      </w:r>
    </w:p>
    <w:p w14:paraId="56810C1B" w14:textId="77777777" w:rsidR="001F0527" w:rsidRDefault="001F0527" w:rsidP="001F0527">
      <w:pPr>
        <w:rPr>
          <w:rFonts w:ascii="Times New Roman" w:eastAsia="Times New Roman" w:hAnsi="Times New Roman" w:cs="Times New Roman"/>
          <w:sz w:val="24"/>
          <w:szCs w:val="24"/>
        </w:rPr>
      </w:pPr>
      <w:r>
        <w:rPr>
          <w:rFonts w:eastAsia="Times New Roman"/>
        </w:rPr>
        <w:t>Thank you,</w:t>
      </w:r>
    </w:p>
    <w:p w14:paraId="2FBA3E0D" w14:textId="77777777" w:rsidR="001F0527" w:rsidRDefault="001F0527" w:rsidP="001F0527">
      <w:pPr>
        <w:rPr>
          <w:rFonts w:ascii="Times New Roman" w:eastAsia="Times New Roman" w:hAnsi="Times New Roman" w:cs="Times New Roman"/>
          <w:sz w:val="24"/>
          <w:szCs w:val="24"/>
        </w:rPr>
      </w:pPr>
      <w:r>
        <w:rPr>
          <w:rFonts w:eastAsia="Times New Roman"/>
        </w:rPr>
        <w:t>Ethan</w:t>
      </w:r>
    </w:p>
    <w:p w14:paraId="16EB5530" w14:textId="77777777" w:rsidR="001F0527" w:rsidRDefault="001F0527" w:rsidP="001F0527">
      <w:pPr>
        <w:rPr>
          <w:rFonts w:ascii="Times New Roman" w:eastAsia="Times New Roman" w:hAnsi="Times New Roman" w:cs="Times New Roman"/>
          <w:sz w:val="24"/>
          <w:szCs w:val="24"/>
        </w:rPr>
      </w:pPr>
      <w:r>
        <w:rPr>
          <w:rFonts w:eastAsia="Times New Roman"/>
        </w:rPr>
        <w:t> </w:t>
      </w:r>
    </w:p>
    <w:p w14:paraId="5D2FCB75" w14:textId="4C9E2840" w:rsidR="001F0527" w:rsidRDefault="001F0527" w:rsidP="001F0527">
      <w:pPr>
        <w:rPr>
          <w:rFonts w:ascii="Times New Roman" w:eastAsia="Times New Roman" w:hAnsi="Times New Roman" w:cs="Times New Roman"/>
          <w:sz w:val="24"/>
          <w:szCs w:val="24"/>
        </w:rPr>
      </w:pPr>
      <w:bookmarkStart w:id="1" w:name="_Hlk79579523"/>
      <w:bookmarkEnd w:id="1"/>
      <w:r>
        <w:rPr>
          <w:rFonts w:eastAsia="Times New Roman"/>
          <w:noProof/>
        </w:rPr>
        <w:drawing>
          <wp:inline distT="0" distB="0" distL="0" distR="0" wp14:anchorId="68F4EB66" wp14:editId="0E2C17EA">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noProof/>
        </w:rPr>
        <w:drawing>
          <wp:inline distT="0" distB="0" distL="0" distR="0" wp14:anchorId="16F791EE" wp14:editId="15A10B13">
            <wp:extent cx="1630680" cy="312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312420"/>
                    </a:xfrm>
                    <a:prstGeom prst="rect">
                      <a:avLst/>
                    </a:prstGeom>
                    <a:noFill/>
                    <a:ln>
                      <a:noFill/>
                    </a:ln>
                  </pic:spPr>
                </pic:pic>
              </a:graphicData>
            </a:graphic>
          </wp:inline>
        </w:drawing>
      </w:r>
    </w:p>
    <w:p w14:paraId="61654F82" w14:textId="2F3E607A" w:rsidR="001F0527" w:rsidRDefault="001F0527" w:rsidP="001F0527">
      <w:pPr>
        <w:rPr>
          <w:rFonts w:ascii="Times New Roman" w:eastAsia="Times New Roman" w:hAnsi="Times New Roman" w:cs="Times New Roman"/>
          <w:sz w:val="24"/>
          <w:szCs w:val="24"/>
        </w:rPr>
      </w:pPr>
      <w:r>
        <w:rPr>
          <w:rFonts w:ascii="Arial" w:eastAsia="Times New Roman" w:hAnsi="Arial" w:cs="Arial"/>
          <w:b/>
          <w:bCs/>
          <w:color w:val="003D57"/>
          <w:sz w:val="20"/>
          <w:szCs w:val="20"/>
        </w:rPr>
        <w:t>Ethan D. Avallone</w:t>
      </w:r>
      <w:r>
        <w:rPr>
          <w:rFonts w:eastAsia="Times New Roman"/>
          <w:color w:val="404040"/>
          <w:sz w:val="20"/>
          <w:szCs w:val="20"/>
        </w:rPr>
        <w:t> </w:t>
      </w:r>
      <w:r>
        <w:rPr>
          <w:rFonts w:ascii="Arial" w:eastAsia="Times New Roman" w:hAnsi="Arial" w:cs="Arial"/>
          <w:color w:val="404040"/>
          <w:sz w:val="20"/>
          <w:szCs w:val="20"/>
        </w:rPr>
        <w:t>| </w:t>
      </w:r>
      <w:hyperlink r:id="rId7" w:history="1">
        <w:r>
          <w:rPr>
            <w:rStyle w:val="Hyperlink"/>
            <w:rFonts w:ascii="Arial" w:eastAsia="Times New Roman" w:hAnsi="Arial" w:cs="Arial"/>
            <w:color w:val="17365D"/>
            <w:sz w:val="20"/>
            <w:szCs w:val="20"/>
          </w:rPr>
          <w:t>LinkedIn</w:t>
        </w:r>
      </w:hyperlink>
      <w:r>
        <w:rPr>
          <w:rFonts w:ascii="Arial" w:eastAsia="Times New Roman" w:hAnsi="Arial" w:cs="Arial"/>
          <w:color w:val="003D57"/>
          <w:sz w:val="20"/>
          <w:szCs w:val="20"/>
        </w:rPr>
        <w:br/>
      </w:r>
      <w:r>
        <w:rPr>
          <w:rFonts w:ascii="Arial" w:eastAsia="Times New Roman" w:hAnsi="Arial" w:cs="Arial"/>
          <w:color w:val="404040"/>
          <w:sz w:val="20"/>
          <w:szCs w:val="20"/>
        </w:rPr>
        <w:t>Manager – Distributed Resources Operations</w:t>
      </w:r>
      <w:r>
        <w:rPr>
          <w:rFonts w:ascii="Arial" w:eastAsia="Times New Roman" w:hAnsi="Arial" w:cs="Arial"/>
          <w:color w:val="404040"/>
          <w:sz w:val="20"/>
          <w:szCs w:val="20"/>
        </w:rPr>
        <w:br/>
        <w:t>10 Krey Boulevard, Rensselaer, NY 12144</w:t>
      </w:r>
      <w:r>
        <w:rPr>
          <w:rFonts w:ascii="Arial" w:eastAsia="Times New Roman" w:hAnsi="Arial" w:cs="Arial"/>
          <w:color w:val="404040"/>
          <w:sz w:val="20"/>
          <w:szCs w:val="20"/>
        </w:rPr>
        <w:br/>
      </w:r>
      <w:r>
        <w:rPr>
          <w:rFonts w:ascii="Arial" w:eastAsia="Times New Roman" w:hAnsi="Arial" w:cs="Arial"/>
          <w:b/>
          <w:bCs/>
          <w:color w:val="009F4D"/>
          <w:sz w:val="20"/>
          <w:szCs w:val="20"/>
        </w:rPr>
        <w:t>Delivering the grid of the future.</w:t>
      </w:r>
      <w:r>
        <w:rPr>
          <w:rFonts w:eastAsia="Times New Roman"/>
          <w:color w:val="244061"/>
          <w:sz w:val="20"/>
          <w:szCs w:val="20"/>
        </w:rPr>
        <w:t> </w:t>
      </w:r>
      <w:hyperlink r:id="rId8" w:history="1">
        <w:r>
          <w:rPr>
            <w:rStyle w:val="Hyperlink"/>
            <w:rFonts w:ascii="Arial" w:eastAsia="Times New Roman" w:hAnsi="Arial" w:cs="Arial"/>
            <w:color w:val="17365D"/>
            <w:sz w:val="20"/>
            <w:szCs w:val="20"/>
          </w:rPr>
          <w:t>Blog</w:t>
        </w:r>
      </w:hyperlink>
      <w:r>
        <w:rPr>
          <w:rFonts w:eastAsia="Times New Roman"/>
          <w:color w:val="244061"/>
          <w:sz w:val="20"/>
          <w:szCs w:val="20"/>
        </w:rPr>
        <w:t> </w:t>
      </w:r>
      <w:r>
        <w:rPr>
          <w:rFonts w:ascii="Arial" w:eastAsia="Times New Roman" w:hAnsi="Arial" w:cs="Arial"/>
          <w:color w:val="244061"/>
          <w:sz w:val="20"/>
          <w:szCs w:val="20"/>
        </w:rPr>
        <w:t>| </w:t>
      </w:r>
      <w:hyperlink r:id="rId9" w:history="1">
        <w:r>
          <w:rPr>
            <w:rStyle w:val="Hyperlink"/>
            <w:rFonts w:ascii="Arial" w:eastAsia="Times New Roman" w:hAnsi="Arial" w:cs="Arial"/>
            <w:color w:val="17365D"/>
            <w:sz w:val="20"/>
            <w:szCs w:val="20"/>
          </w:rPr>
          <w:t>Podcast</w:t>
        </w:r>
      </w:hyperlink>
      <w:r>
        <w:rPr>
          <w:rFonts w:eastAsia="Times New Roman"/>
          <w:color w:val="244061"/>
          <w:sz w:val="20"/>
          <w:szCs w:val="20"/>
        </w:rPr>
        <w:t> </w:t>
      </w:r>
      <w:r>
        <w:rPr>
          <w:rFonts w:ascii="Arial" w:eastAsia="Times New Roman" w:hAnsi="Arial" w:cs="Arial"/>
          <w:color w:val="244061"/>
          <w:sz w:val="20"/>
          <w:szCs w:val="20"/>
        </w:rPr>
        <w:t>| </w:t>
      </w:r>
      <w:hyperlink r:id="rId10" w:history="1">
        <w:r>
          <w:rPr>
            <w:rStyle w:val="Hyperlink"/>
            <w:rFonts w:ascii="Arial" w:eastAsia="Times New Roman" w:hAnsi="Arial" w:cs="Arial"/>
            <w:color w:val="17365D"/>
            <w:sz w:val="20"/>
            <w:szCs w:val="20"/>
          </w:rPr>
          <w:t>Twitter</w:t>
        </w:r>
      </w:hyperlink>
      <w:r>
        <w:rPr>
          <w:rFonts w:eastAsia="Times New Roman"/>
          <w:color w:val="17365D"/>
          <w:sz w:val="20"/>
          <w:szCs w:val="20"/>
        </w:rPr>
        <w:t> </w:t>
      </w:r>
      <w:r>
        <w:rPr>
          <w:rFonts w:ascii="Arial" w:eastAsia="Times New Roman" w:hAnsi="Arial" w:cs="Arial"/>
          <w:color w:val="17365D"/>
          <w:sz w:val="20"/>
          <w:szCs w:val="20"/>
        </w:rPr>
        <w:t>| </w:t>
      </w:r>
      <w:hyperlink r:id="rId11" w:history="1">
        <w:r>
          <w:rPr>
            <w:rStyle w:val="Hyperlink"/>
            <w:rFonts w:ascii="Arial" w:eastAsia="Times New Roman" w:hAnsi="Arial" w:cs="Arial"/>
            <w:color w:val="17365D"/>
            <w:sz w:val="20"/>
            <w:szCs w:val="20"/>
          </w:rPr>
          <w:t>2040 Grid</w:t>
        </w:r>
      </w:hyperlink>
    </w:p>
    <w:p w14:paraId="06A8182E" w14:textId="77777777" w:rsidR="001F0527" w:rsidRDefault="001F0527" w:rsidP="001F0527">
      <w:pPr>
        <w:rPr>
          <w:rFonts w:ascii="Times New Roman" w:eastAsia="Times New Roman" w:hAnsi="Times New Roman" w:cs="Times New Roman"/>
          <w:sz w:val="24"/>
          <w:szCs w:val="24"/>
        </w:rPr>
      </w:pPr>
      <w:r>
        <w:rPr>
          <w:rFonts w:eastAsia="Times New Roman"/>
        </w:rPr>
        <w:t> </w:t>
      </w:r>
    </w:p>
    <w:p w14:paraId="79B44A0A" w14:textId="77777777" w:rsidR="001F0527" w:rsidRDefault="001F0527" w:rsidP="001F0527">
      <w:pPr>
        <w:rPr>
          <w:rFonts w:ascii="Times New Roman" w:eastAsia="Times New Roman" w:hAnsi="Times New Roman" w:cs="Times New Roman"/>
          <w:sz w:val="24"/>
          <w:szCs w:val="24"/>
        </w:rPr>
      </w:pPr>
      <w:r>
        <w:rPr>
          <w:rFonts w:eastAsia="Times New Roman"/>
        </w:rPr>
        <w:t> </w:t>
      </w:r>
      <w:bookmarkEnd w:id="0"/>
    </w:p>
    <w:sectPr w:rsidR="001F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7"/>
    <w:rsid w:val="001F0527"/>
    <w:rsid w:val="00A66E20"/>
    <w:rsid w:val="00FB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7245"/>
  <w15:chartTrackingRefBased/>
  <w15:docId w15:val="{C0CA2268-E51C-43A6-8D01-DE2B957F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so.com/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company/nyiso/?form=MY01SV&amp;OCID=MY01S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yiso.com/2040grid" TargetMode="External"/><Relationship Id="rId5" Type="http://schemas.openxmlformats.org/officeDocument/2006/relationships/image" Target="cid:image001.png@01D7FBFD.229B4DE0" TargetMode="External"/><Relationship Id="rId10" Type="http://schemas.openxmlformats.org/officeDocument/2006/relationships/hyperlink" Target="https://twitter.com/NewYorkISO" TargetMode="External"/><Relationship Id="rId4" Type="http://schemas.openxmlformats.org/officeDocument/2006/relationships/hyperlink" Target="https://www.nyiso.com/documents/20142/2925061/M-XX-Aggregation-Manual-DRAFT-Incremental-Clean.pdf/f5fa7d59-c401-f47a-b00f-6a85100159d0" TargetMode="External"/><Relationship Id="rId9" Type="http://schemas.openxmlformats.org/officeDocument/2006/relationships/hyperlink" Target="https://www.nyiso.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2</cp:revision>
  <dcterms:created xsi:type="dcterms:W3CDTF">2024-02-20T22:09:00Z</dcterms:created>
  <dcterms:modified xsi:type="dcterms:W3CDTF">2024-02-20T22:10:00Z</dcterms:modified>
</cp:coreProperties>
</file>