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44E04" w14:textId="77777777" w:rsidR="00607D2F" w:rsidRDefault="00607D2F" w:rsidP="00607D2F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</w:pPr>
      <w:r>
        <w:t xml:space="preserve">MiQ comments on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June 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, 202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WGQ Contract Subcommittee Conference Call with Web Conferencing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(060222w1):</w:t>
      </w:r>
      <w:r>
        <w:rPr>
          <w:rFonts w:eastAsia="Times New Roman"/>
          <w:color w:val="000000"/>
          <w:lang w:val="en-US"/>
        </w:rPr>
        <w:t xml:space="preserve"> </w:t>
      </w:r>
    </w:p>
    <w:p w14:paraId="3C51F0DB" w14:textId="77777777" w:rsidR="00607D2F" w:rsidRDefault="00607D2F" w:rsidP="00607D2F">
      <w:pPr>
        <w:pStyle w:val="ListParagraph"/>
        <w:numPr>
          <w:ilvl w:val="1"/>
          <w:numId w:val="1"/>
        </w:numPr>
        <w:spacing w:after="0" w:line="240" w:lineRule="auto"/>
        <w:ind w:left="2160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RSG Addendum initial draft</w:t>
      </w:r>
    </w:p>
    <w:p w14:paraId="147F7392" w14:textId="365BF0C7" w:rsidR="00AA60F4" w:rsidRDefault="00AA60F4"/>
    <w:p w14:paraId="0030D34B" w14:textId="6C26A548" w:rsidR="00607D2F" w:rsidRDefault="00607D2F"/>
    <w:p w14:paraId="219FAE79" w14:textId="68E24CD2" w:rsidR="00607D2F" w:rsidRDefault="00607D2F">
      <w:r>
        <w:t>Date: June 14</w:t>
      </w:r>
      <w:r w:rsidRPr="00607D2F">
        <w:rPr>
          <w:vertAlign w:val="superscript"/>
        </w:rPr>
        <w:t>th</w:t>
      </w:r>
      <w:r>
        <w:t>, 2022</w:t>
      </w:r>
    </w:p>
    <w:p w14:paraId="4CAA025C" w14:textId="312956BE" w:rsidR="00607D2F" w:rsidRDefault="00607D2F"/>
    <w:p w14:paraId="392364DD" w14:textId="73E3DDA4" w:rsidR="00607D2F" w:rsidRDefault="00607D2F">
      <w:r>
        <w:t>MiQ is providing only high level comments on what we perceive to be principal issues with the current proposed NAESB Addendum</w:t>
      </w:r>
    </w:p>
    <w:p w14:paraId="07BACB67" w14:textId="16185990" w:rsidR="00607D2F" w:rsidRDefault="00607D2F"/>
    <w:p w14:paraId="3F309F43" w14:textId="3276C4B8" w:rsidR="00C800AD" w:rsidRDefault="00C800AD">
      <w:r>
        <w:t xml:space="preserve">MiQ applauds the NAESB in its aim to create an Addendum for certified/RSG gas. We believe in the power of markets to accelerate methane abatement and a general agreed format for bilateral transactions will help to create liquidity. </w:t>
      </w:r>
    </w:p>
    <w:p w14:paraId="11658975" w14:textId="7F571355" w:rsidR="001D290D" w:rsidRDefault="001D290D"/>
    <w:p w14:paraId="4BA52161" w14:textId="371EDCC3" w:rsidR="001D290D" w:rsidRDefault="001D290D">
      <w:r>
        <w:t xml:space="preserve">For background, methane emissions on a global scale equate to 7 billion tonnes of </w:t>
      </w:r>
      <w:r w:rsidR="002F4808">
        <w:t>CO</w:t>
      </w:r>
      <w:r>
        <w:t>2e, the equivalent of 8x all the airlines or 1.3x the TOTAL emissions of the US on a yearly basis. Certification will provide the transparency to abate 80% this decade</w:t>
      </w:r>
      <w:r w:rsidR="002F4808">
        <w:t xml:space="preserve"> if global oil and gas operations can meet a methane intensity of 0.2% leakage or less. </w:t>
      </w:r>
    </w:p>
    <w:p w14:paraId="74988FD4" w14:textId="77777777" w:rsidR="001D290D" w:rsidRDefault="001D290D"/>
    <w:p w14:paraId="4A8DAF2C" w14:textId="3AC4DE9A" w:rsidR="001D290D" w:rsidRDefault="001D290D">
      <w:r>
        <w:t xml:space="preserve">We should not risk this key goal by creating confusion in the markets with lower standards. </w:t>
      </w:r>
    </w:p>
    <w:p w14:paraId="526DAC11" w14:textId="546EEFF3" w:rsidR="00C800AD" w:rsidRDefault="00C800AD"/>
    <w:p w14:paraId="3EF82D12" w14:textId="4BA41EDF" w:rsidR="00C800AD" w:rsidRDefault="00C800AD">
      <w:r>
        <w:t xml:space="preserve">We believe that the minimum norms allowed for certified gas needs to be such that ALL the stakeholders trust the certification process. This requires </w:t>
      </w:r>
      <w:r w:rsidR="00603DEA" w:rsidRPr="00C77F2C">
        <w:rPr>
          <w:b/>
          <w:bCs/>
        </w:rPr>
        <w:t xml:space="preserve">key </w:t>
      </w:r>
      <w:r w:rsidR="00C77F2C" w:rsidRPr="00C77F2C">
        <w:rPr>
          <w:b/>
          <w:bCs/>
        </w:rPr>
        <w:t>governance principles</w:t>
      </w:r>
      <w:r>
        <w:t xml:space="preserve"> such as </w:t>
      </w:r>
    </w:p>
    <w:p w14:paraId="666BFA8B" w14:textId="03833457" w:rsidR="00C800AD" w:rsidRDefault="00C800AD" w:rsidP="00C800AD">
      <w:pPr>
        <w:pStyle w:val="ListParagraph"/>
        <w:numPr>
          <w:ilvl w:val="0"/>
          <w:numId w:val="2"/>
        </w:numPr>
      </w:pPr>
      <w:r>
        <w:t>Transparent and publicly available Certification Standard</w:t>
      </w:r>
    </w:p>
    <w:p w14:paraId="5B7B8DD3" w14:textId="3A9586B4" w:rsidR="00C800AD" w:rsidRDefault="00C800AD" w:rsidP="00C800AD">
      <w:pPr>
        <w:pStyle w:val="ListParagraph"/>
        <w:numPr>
          <w:ilvl w:val="0"/>
          <w:numId w:val="2"/>
        </w:numPr>
      </w:pPr>
      <w:r>
        <w:t xml:space="preserve">Independence and avoidance of conflict between Certifier and </w:t>
      </w:r>
    </w:p>
    <w:p w14:paraId="5BEF0E49" w14:textId="517558FD" w:rsidR="00C800AD" w:rsidRDefault="00C800AD" w:rsidP="00C800AD">
      <w:pPr>
        <w:pStyle w:val="ListParagraph"/>
        <w:numPr>
          <w:ilvl w:val="1"/>
          <w:numId w:val="2"/>
        </w:numPr>
      </w:pPr>
      <w:r>
        <w:t>Operator</w:t>
      </w:r>
    </w:p>
    <w:p w14:paraId="5A391889" w14:textId="73F8D9E6" w:rsidR="00C800AD" w:rsidRDefault="00C800AD" w:rsidP="00C800AD">
      <w:pPr>
        <w:pStyle w:val="ListParagraph"/>
        <w:numPr>
          <w:ilvl w:val="1"/>
          <w:numId w:val="2"/>
        </w:numPr>
      </w:pPr>
      <w:r>
        <w:t>Technology or Data provider</w:t>
      </w:r>
    </w:p>
    <w:p w14:paraId="2CCC511B" w14:textId="4A7C9DB9" w:rsidR="00C800AD" w:rsidRDefault="002F4808" w:rsidP="00C800AD">
      <w:pPr>
        <w:pStyle w:val="ListParagraph"/>
        <w:numPr>
          <w:ilvl w:val="1"/>
          <w:numId w:val="2"/>
        </w:numPr>
      </w:pPr>
      <w:r>
        <w:t>Auditor</w:t>
      </w:r>
      <w:r w:rsidR="00C800AD">
        <w:t xml:space="preserve"> or Validator</w:t>
      </w:r>
    </w:p>
    <w:p w14:paraId="4110B0A3" w14:textId="131DCB00" w:rsidR="00C800AD" w:rsidRDefault="00C800AD" w:rsidP="00C800AD">
      <w:pPr>
        <w:pStyle w:val="ListParagraph"/>
        <w:numPr>
          <w:ilvl w:val="0"/>
          <w:numId w:val="2"/>
        </w:numPr>
      </w:pPr>
      <w:r>
        <w:t>Robustness of the determination of the methane emissions</w:t>
      </w:r>
      <w:r w:rsidR="002F4808">
        <w:t>, applying clear, reproducible metrics for quantification or measurement</w:t>
      </w:r>
    </w:p>
    <w:p w14:paraId="43991E3D" w14:textId="73D5BADE" w:rsidR="00C800AD" w:rsidRDefault="00603DEA" w:rsidP="00C800AD">
      <w:pPr>
        <w:pStyle w:val="ListParagraph"/>
        <w:numPr>
          <w:ilvl w:val="0"/>
          <w:numId w:val="2"/>
        </w:numPr>
      </w:pPr>
      <w:r>
        <w:t>Reliance upon a Digital Registry to track certificates and avoid double counting</w:t>
      </w:r>
    </w:p>
    <w:p w14:paraId="6968A880" w14:textId="443B0C91" w:rsidR="001D290D" w:rsidRDefault="001D290D">
      <w:r>
        <w:t>T</w:t>
      </w:r>
      <w:r w:rsidR="00C77F2C">
        <w:t>hese principles are best practices equally applied in other banking</w:t>
      </w:r>
      <w:r w:rsidR="00A65FAF">
        <w:t xml:space="preserve">, </w:t>
      </w:r>
      <w:r w:rsidR="00C77F2C">
        <w:t>trading</w:t>
      </w:r>
      <w:r w:rsidR="00A65FAF">
        <w:t xml:space="preserve"> or accounting</w:t>
      </w:r>
      <w:r w:rsidR="00C77F2C">
        <w:t xml:space="preserve"> areas, with clear segregation of duties. </w:t>
      </w:r>
    </w:p>
    <w:p w14:paraId="1B9B6C2B" w14:textId="77777777" w:rsidR="001D290D" w:rsidRDefault="001D290D"/>
    <w:p w14:paraId="5EAB5A38" w14:textId="43BD62F8" w:rsidR="00603DEA" w:rsidRDefault="00A65FAF">
      <w:r>
        <w:t>T</w:t>
      </w:r>
      <w:r w:rsidR="001D290D">
        <w:t xml:space="preserve">he Addendum </w:t>
      </w:r>
      <w:r>
        <w:t xml:space="preserve">unfortunately currently </w:t>
      </w:r>
      <w:r w:rsidR="001D290D">
        <w:t>allows for certification mechanisms which do not follow these logical and obvious principles. This creates a significant risk for the Addendum in its current state to lead the nascent gas certification market towards a path of non-credibility</w:t>
      </w:r>
      <w:r w:rsidR="002F4808">
        <w:t>, scrutiny</w:t>
      </w:r>
      <w:r w:rsidR="001D290D">
        <w:t xml:space="preserve"> and thus low adoption – thereby missing a key </w:t>
      </w:r>
      <w:r w:rsidR="002F4808">
        <w:t>opportunity</w:t>
      </w:r>
      <w:r w:rsidR="001D290D">
        <w:t xml:space="preserve"> to address methane emissions</w:t>
      </w:r>
      <w:r w:rsidR="002F4808">
        <w:t>.</w:t>
      </w:r>
    </w:p>
    <w:p w14:paraId="001D0999" w14:textId="77777777" w:rsidR="00C77F2C" w:rsidRDefault="00C77F2C"/>
    <w:p w14:paraId="5314CEAF" w14:textId="6049EF1B" w:rsidR="00607D2F" w:rsidRDefault="00607D2F"/>
    <w:p w14:paraId="5AB477AD" w14:textId="5994226D" w:rsidR="00C77F2C" w:rsidRDefault="00C77F2C">
      <w:r>
        <w:t xml:space="preserve">We are providing the following high level comments: </w:t>
      </w:r>
    </w:p>
    <w:p w14:paraId="1C766D74" w14:textId="0D43AC7B" w:rsidR="00C77F2C" w:rsidRPr="00C77F2C" w:rsidRDefault="00C77F2C" w:rsidP="00C77F2C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We reject the t</w:t>
      </w:r>
      <w:r w:rsidRPr="00C77F2C">
        <w:rPr>
          <w:rFonts w:eastAsia="Times New Roman"/>
          <w:color w:val="000000"/>
        </w:rPr>
        <w:t xml:space="preserve">erm RSG and </w:t>
      </w:r>
      <w:r>
        <w:rPr>
          <w:rFonts w:eastAsia="Times New Roman"/>
          <w:color w:val="000000"/>
        </w:rPr>
        <w:t xml:space="preserve">propose ICG (independently certified gas) / </w:t>
      </w:r>
      <w:r w:rsidRPr="00C77F2C">
        <w:rPr>
          <w:rFonts w:eastAsia="Times New Roman"/>
          <w:color w:val="000000"/>
        </w:rPr>
        <w:t>certified gas / certified natural gas</w:t>
      </w:r>
      <w:r>
        <w:rPr>
          <w:rFonts w:eastAsia="Times New Roman"/>
          <w:color w:val="000000"/>
        </w:rPr>
        <w:t xml:space="preserve"> / </w:t>
      </w:r>
      <w:r w:rsidRPr="00C77F2C">
        <w:rPr>
          <w:rFonts w:eastAsia="Times New Roman"/>
          <w:color w:val="000000"/>
        </w:rPr>
        <w:t>differentiated gas</w:t>
      </w:r>
      <w:r w:rsidR="002F4808">
        <w:rPr>
          <w:rFonts w:eastAsia="Times New Roman"/>
          <w:color w:val="000000"/>
        </w:rPr>
        <w:t xml:space="preserve">.  </w:t>
      </w:r>
      <w:r>
        <w:rPr>
          <w:rFonts w:eastAsia="Times New Roman"/>
          <w:color w:val="000000"/>
        </w:rPr>
        <w:t>RSG is a</w:t>
      </w:r>
      <w:r w:rsidR="002F4808">
        <w:rPr>
          <w:rFonts w:eastAsia="Times New Roman"/>
          <w:color w:val="000000"/>
        </w:rPr>
        <w:t xml:space="preserve"> qualitative and</w:t>
      </w:r>
      <w:r>
        <w:rPr>
          <w:rFonts w:eastAsia="Times New Roman"/>
          <w:color w:val="000000"/>
        </w:rPr>
        <w:t xml:space="preserve"> h</w:t>
      </w:r>
      <w:r w:rsidRPr="00C77F2C">
        <w:rPr>
          <w:rFonts w:eastAsia="Times New Roman"/>
          <w:color w:val="000000"/>
        </w:rPr>
        <w:t xml:space="preserve">yped </w:t>
      </w:r>
      <w:r>
        <w:rPr>
          <w:rFonts w:eastAsia="Times New Roman"/>
          <w:color w:val="000000"/>
        </w:rPr>
        <w:t xml:space="preserve">marketing </w:t>
      </w:r>
      <w:r w:rsidRPr="00C77F2C">
        <w:rPr>
          <w:rFonts w:eastAsia="Times New Roman"/>
          <w:color w:val="000000"/>
        </w:rPr>
        <w:t>term</w:t>
      </w:r>
      <w:r w:rsidR="002F4808">
        <w:rPr>
          <w:rFonts w:eastAsia="Times New Roman"/>
          <w:color w:val="000000"/>
        </w:rPr>
        <w:t xml:space="preserve"> which invites criticism of </w:t>
      </w:r>
      <w:r w:rsidRPr="00C77F2C">
        <w:rPr>
          <w:rFonts w:eastAsia="Times New Roman"/>
          <w:color w:val="000000"/>
        </w:rPr>
        <w:t>greenwashing</w:t>
      </w:r>
      <w:r w:rsidR="00BC3DBF">
        <w:rPr>
          <w:rFonts w:eastAsia="Times New Roman"/>
          <w:color w:val="000000"/>
        </w:rPr>
        <w:t xml:space="preserve"> for the sector which will not help operators and buyers to credibly sell and buy low methane certified gas. Articles have already appeared </w:t>
      </w:r>
      <w:r w:rsidR="002F4808">
        <w:rPr>
          <w:rFonts w:eastAsia="Times New Roman"/>
          <w:color w:val="000000"/>
        </w:rPr>
        <w:t>addressing this (e.g. Financial Times).</w:t>
      </w:r>
    </w:p>
    <w:p w14:paraId="0651BBE2" w14:textId="14405727" w:rsidR="00C77F2C" w:rsidRPr="00C77F2C" w:rsidRDefault="00C77F2C" w:rsidP="00C77F2C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</w:rPr>
      </w:pPr>
      <w:r w:rsidRPr="00C77F2C">
        <w:rPr>
          <w:rFonts w:eastAsia="Times New Roman"/>
          <w:color w:val="000000"/>
        </w:rPr>
        <w:t>Section 2.43, 2.44 and 3: both Facilities and </w:t>
      </w:r>
      <w:r w:rsidRPr="00C77F2C">
        <w:rPr>
          <w:rFonts w:eastAsia="Times New Roman"/>
          <w:b/>
          <w:bCs/>
          <w:color w:val="000000"/>
        </w:rPr>
        <w:t>Wells</w:t>
      </w:r>
      <w:r w:rsidRPr="00C77F2C">
        <w:rPr>
          <w:rFonts w:eastAsia="Times New Roman"/>
          <w:color w:val="000000"/>
        </w:rPr>
        <w:t xml:space="preserve"> are permitted. </w:t>
      </w:r>
      <w:r>
        <w:rPr>
          <w:rFonts w:eastAsia="Times New Roman"/>
          <w:color w:val="000000"/>
        </w:rPr>
        <w:t>Well certification only</w:t>
      </w:r>
      <w:r w:rsidRPr="00C77F2C">
        <w:rPr>
          <w:rFonts w:eastAsia="Times New Roman"/>
          <w:color w:val="000000"/>
        </w:rPr>
        <w:t xml:space="preserve"> creates a risk of </w:t>
      </w:r>
      <w:r w:rsidRPr="00C77F2C">
        <w:rPr>
          <w:rFonts w:eastAsia="Times New Roman"/>
          <w:color w:val="000000"/>
          <w:u w:val="single"/>
        </w:rPr>
        <w:t>cherry picking</w:t>
      </w:r>
      <w:r w:rsidRPr="00C77F2C">
        <w:rPr>
          <w:rFonts w:eastAsia="Times New Roman"/>
          <w:color w:val="000000"/>
        </w:rPr>
        <w:t xml:space="preserve"> accusations by NGOs </w:t>
      </w:r>
      <w:r>
        <w:rPr>
          <w:rFonts w:eastAsia="Times New Roman"/>
          <w:color w:val="000000"/>
        </w:rPr>
        <w:t xml:space="preserve">or other stakeholders </w:t>
      </w:r>
      <w:r w:rsidRPr="00C77F2C">
        <w:rPr>
          <w:rFonts w:eastAsia="Times New Roman"/>
          <w:color w:val="000000"/>
        </w:rPr>
        <w:t>and rightfully so.</w:t>
      </w:r>
      <w:r w:rsidR="002F4808">
        <w:rPr>
          <w:rFonts w:eastAsia="Times New Roman"/>
          <w:color w:val="000000"/>
        </w:rPr>
        <w:t xml:space="preserve">  This further invites operators to simply certify or disclose emissions only on their newest, most profitable assets with inherently lowest emissions and does not effectively drive </w:t>
      </w:r>
      <w:r w:rsidR="002F4808">
        <w:rPr>
          <w:rFonts w:eastAsia="Times New Roman"/>
          <w:color w:val="000000"/>
        </w:rPr>
        <w:lastRenderedPageBreak/>
        <w:t xml:space="preserve">transparency or reductions for remaining assets.  Current civil society organizations are actively scanning certified operators and calling foul on the occurrence and/or lack of transparency of emissions for pads adjacent to certified wells.  This risk will only increase over time. </w:t>
      </w:r>
    </w:p>
    <w:p w14:paraId="08A17E2F" w14:textId="45109B98" w:rsidR="00C77F2C" w:rsidRPr="00C77F2C" w:rsidRDefault="00C77F2C" w:rsidP="00C77F2C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</w:rPr>
      </w:pPr>
      <w:r w:rsidRPr="00C77F2C">
        <w:rPr>
          <w:rFonts w:eastAsia="Times New Roman"/>
          <w:color w:val="000000"/>
        </w:rPr>
        <w:t xml:space="preserve">Exhibit B: </w:t>
      </w:r>
      <w:r w:rsidR="002F4808">
        <w:rPr>
          <w:rFonts w:eastAsia="Times New Roman"/>
          <w:color w:val="000000"/>
        </w:rPr>
        <w:t>There appears to be a lack of a</w:t>
      </w:r>
      <w:r w:rsidRPr="00C77F2C">
        <w:rPr>
          <w:rFonts w:eastAsia="Times New Roman"/>
          <w:color w:val="000000"/>
        </w:rPr>
        <w:t xml:space="preserve"> delivery mechanism for certificates in a </w:t>
      </w:r>
      <w:r w:rsidRPr="00C77F2C">
        <w:rPr>
          <w:rFonts w:eastAsia="Times New Roman"/>
          <w:b/>
          <w:bCs/>
          <w:color w:val="000000"/>
        </w:rPr>
        <w:t>registry</w:t>
      </w:r>
      <w:r w:rsidRPr="00C77F2C">
        <w:rPr>
          <w:rFonts w:eastAsia="Times New Roman"/>
          <w:color w:val="000000"/>
        </w:rPr>
        <w:t> of the certificates.</w:t>
      </w:r>
      <w:r>
        <w:rPr>
          <w:rFonts w:eastAsia="Times New Roman"/>
          <w:color w:val="000000"/>
        </w:rPr>
        <w:t xml:space="preserve"> </w:t>
      </w:r>
      <w:r w:rsidR="0004240F">
        <w:rPr>
          <w:rFonts w:eastAsia="Times New Roman"/>
          <w:color w:val="000000"/>
        </w:rPr>
        <w:t>The currently proposed</w:t>
      </w:r>
      <w:r>
        <w:rPr>
          <w:rFonts w:eastAsia="Times New Roman"/>
          <w:color w:val="000000"/>
        </w:rPr>
        <w:t xml:space="preserve"> </w:t>
      </w:r>
      <w:r w:rsidR="0075349F">
        <w:rPr>
          <w:rFonts w:eastAsia="Times New Roman"/>
          <w:color w:val="000000"/>
        </w:rPr>
        <w:t xml:space="preserve">form of </w:t>
      </w:r>
      <w:r>
        <w:rPr>
          <w:rFonts w:eastAsia="Times New Roman"/>
          <w:color w:val="000000"/>
        </w:rPr>
        <w:t>self</w:t>
      </w:r>
      <w:r w:rsidR="0004240F">
        <w:rPr>
          <w:rFonts w:eastAsia="Times New Roman"/>
          <w:color w:val="000000"/>
        </w:rPr>
        <w:t>-</w:t>
      </w:r>
      <w:r>
        <w:rPr>
          <w:rFonts w:eastAsia="Times New Roman"/>
          <w:color w:val="000000"/>
        </w:rPr>
        <w:t>attestation in the Addendum will create legal risks, r</w:t>
      </w:r>
      <w:r w:rsidRPr="00C77F2C">
        <w:rPr>
          <w:rFonts w:eastAsia="Times New Roman"/>
          <w:color w:val="000000"/>
        </w:rPr>
        <w:t>isk</w:t>
      </w:r>
      <w:r>
        <w:rPr>
          <w:rFonts w:eastAsia="Times New Roman"/>
          <w:color w:val="000000"/>
        </w:rPr>
        <w:t>s</w:t>
      </w:r>
      <w:r w:rsidRPr="00C77F2C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 xml:space="preserve">of </w:t>
      </w:r>
      <w:r w:rsidRPr="00C77F2C">
        <w:rPr>
          <w:rFonts w:eastAsia="Times New Roman"/>
          <w:color w:val="000000"/>
          <w:u w:val="single"/>
        </w:rPr>
        <w:t xml:space="preserve">double counting, </w:t>
      </w:r>
      <w:r w:rsidR="002F4808">
        <w:rPr>
          <w:rFonts w:eastAsia="Times New Roman"/>
          <w:color w:val="000000"/>
          <w:u w:val="single"/>
        </w:rPr>
        <w:t>and fraud</w:t>
      </w:r>
      <w:r>
        <w:rPr>
          <w:rFonts w:eastAsia="Times New Roman"/>
          <w:color w:val="000000"/>
        </w:rPr>
        <w:t xml:space="preserve">. The </w:t>
      </w:r>
      <w:r w:rsidR="00A3742E">
        <w:rPr>
          <w:rFonts w:eastAsia="Times New Roman"/>
          <w:color w:val="000000"/>
        </w:rPr>
        <w:t xml:space="preserve">alternative and </w:t>
      </w:r>
      <w:r w:rsidR="0075349F">
        <w:rPr>
          <w:rFonts w:eastAsia="Times New Roman"/>
          <w:color w:val="000000"/>
        </w:rPr>
        <w:t xml:space="preserve">credible </w:t>
      </w:r>
      <w:r>
        <w:rPr>
          <w:rFonts w:eastAsia="Times New Roman"/>
          <w:color w:val="000000"/>
        </w:rPr>
        <w:t xml:space="preserve">mechanism of a central registry is well understood in other markets such as </w:t>
      </w:r>
      <w:r w:rsidR="002F4808">
        <w:rPr>
          <w:rFonts w:eastAsia="Times New Roman"/>
          <w:color w:val="000000"/>
        </w:rPr>
        <w:t>RECs</w:t>
      </w:r>
      <w:r>
        <w:rPr>
          <w:rFonts w:eastAsia="Times New Roman"/>
          <w:color w:val="000000"/>
        </w:rPr>
        <w:t xml:space="preserve">, RNG etc. MiQ has created a registry for this purpose: </w:t>
      </w:r>
      <w:hyperlink r:id="rId7" w:history="1">
        <w:r w:rsidRPr="006529D6">
          <w:rPr>
            <w:rStyle w:val="Hyperlink"/>
            <w:rFonts w:eastAsia="Times New Roman"/>
          </w:rPr>
          <w:t>www.miqregistry.org</w:t>
        </w:r>
      </w:hyperlink>
      <w:r>
        <w:rPr>
          <w:rFonts w:eastAsia="Times New Roman"/>
          <w:color w:val="000000"/>
        </w:rPr>
        <w:t xml:space="preserve">. </w:t>
      </w:r>
    </w:p>
    <w:p w14:paraId="36728394" w14:textId="351AB07C" w:rsidR="00C77F2C" w:rsidRPr="00C77F2C" w:rsidRDefault="00C77F2C" w:rsidP="00C77F2C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</w:rPr>
      </w:pPr>
      <w:r w:rsidRPr="00C77F2C">
        <w:rPr>
          <w:rFonts w:eastAsia="Times New Roman"/>
          <w:color w:val="000000"/>
        </w:rPr>
        <w:t xml:space="preserve">2.44. “Certification Authority: means an entity that certifies and/or verifies”. </w:t>
      </w:r>
      <w:r>
        <w:rPr>
          <w:rFonts w:eastAsia="Times New Roman"/>
          <w:color w:val="000000"/>
        </w:rPr>
        <w:t>This is a c</w:t>
      </w:r>
      <w:r w:rsidRPr="00C77F2C">
        <w:rPr>
          <w:rFonts w:eastAsia="Times New Roman"/>
          <w:color w:val="000000"/>
        </w:rPr>
        <w:t>lear </w:t>
      </w:r>
      <w:r w:rsidRPr="00C77F2C">
        <w:rPr>
          <w:rFonts w:eastAsia="Times New Roman"/>
          <w:color w:val="000000"/>
          <w:u w:val="single"/>
        </w:rPr>
        <w:t>conflict</w:t>
      </w:r>
      <w:r w:rsidRPr="00C77F2C">
        <w:rPr>
          <w:rFonts w:eastAsia="Times New Roman"/>
          <w:color w:val="000000"/>
        </w:rPr>
        <w:t>, it implies the Certifier can be the Verifier</w:t>
      </w:r>
      <w:r>
        <w:rPr>
          <w:rFonts w:eastAsia="Times New Roman"/>
          <w:color w:val="000000"/>
        </w:rPr>
        <w:t xml:space="preserve"> at the same time. </w:t>
      </w:r>
      <w:r w:rsidR="002F4808">
        <w:rPr>
          <w:rFonts w:eastAsia="Times New Roman"/>
          <w:color w:val="000000"/>
        </w:rPr>
        <w:t xml:space="preserve"> A certifier cannot, by definition, audit their own data.</w:t>
      </w:r>
      <w:r w:rsidR="006311B0">
        <w:rPr>
          <w:rFonts w:eastAsia="Times New Roman"/>
          <w:color w:val="000000"/>
        </w:rPr>
        <w:t xml:space="preserve"> Conflict avoidance</w:t>
      </w:r>
      <w:r w:rsidR="00605571">
        <w:rPr>
          <w:rFonts w:eastAsia="Times New Roman"/>
          <w:color w:val="000000"/>
        </w:rPr>
        <w:t xml:space="preserve"> is a central concept in any </w:t>
      </w:r>
      <w:r w:rsidR="006311B0">
        <w:rPr>
          <w:rFonts w:eastAsia="Times New Roman"/>
          <w:color w:val="000000"/>
        </w:rPr>
        <w:t xml:space="preserve">credible </w:t>
      </w:r>
      <w:r w:rsidR="00605571">
        <w:rPr>
          <w:rFonts w:eastAsia="Times New Roman"/>
          <w:color w:val="000000"/>
        </w:rPr>
        <w:t xml:space="preserve">standard such as a </w:t>
      </w:r>
      <w:r w:rsidR="006311B0">
        <w:rPr>
          <w:rFonts w:eastAsia="Times New Roman"/>
          <w:color w:val="000000"/>
        </w:rPr>
        <w:t xml:space="preserve">financial standards. </w:t>
      </w:r>
    </w:p>
    <w:p w14:paraId="43C7596B" w14:textId="6C0DEC6B" w:rsidR="00607D2F" w:rsidRDefault="00C77F2C" w:rsidP="001D290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</w:rPr>
      </w:pPr>
      <w:r w:rsidRPr="00C77F2C">
        <w:rPr>
          <w:rFonts w:eastAsia="Times New Roman"/>
          <w:color w:val="000000"/>
        </w:rPr>
        <w:t>Role of Verifier and Certifier. This requires further reading across the full contract</w:t>
      </w:r>
      <w:r w:rsidR="00582025">
        <w:rPr>
          <w:rFonts w:eastAsia="Times New Roman"/>
          <w:color w:val="000000"/>
        </w:rPr>
        <w:t xml:space="preserve"> and will likely require a redraft. </w:t>
      </w:r>
      <w:r w:rsidR="00A3742E">
        <w:rPr>
          <w:rFonts w:eastAsia="Times New Roman"/>
          <w:color w:val="000000"/>
        </w:rPr>
        <w:t xml:space="preserve">The term AEC </w:t>
      </w:r>
      <w:r w:rsidR="00EF73A1">
        <w:rPr>
          <w:rFonts w:eastAsia="Times New Roman"/>
          <w:color w:val="000000"/>
        </w:rPr>
        <w:t>likely</w:t>
      </w:r>
      <w:r w:rsidR="00A3742E">
        <w:rPr>
          <w:rFonts w:eastAsia="Times New Roman"/>
          <w:color w:val="000000"/>
        </w:rPr>
        <w:t xml:space="preserve"> requires further drafting. </w:t>
      </w:r>
    </w:p>
    <w:p w14:paraId="2FC399AB" w14:textId="682A14A9" w:rsidR="00B5112A" w:rsidRDefault="00EF73A1" w:rsidP="00EF73A1">
      <w:pPr>
        <w:spacing w:before="100" w:beforeAutospacing="1" w:after="100" w:afterAutospacing="1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We would like to point out again </w:t>
      </w:r>
      <w:r w:rsidR="00251EC5">
        <w:rPr>
          <w:rFonts w:eastAsia="Times New Roman"/>
          <w:color w:val="000000"/>
        </w:rPr>
        <w:t>above</w:t>
      </w:r>
      <w:r>
        <w:rPr>
          <w:rFonts w:eastAsia="Times New Roman"/>
          <w:color w:val="000000"/>
        </w:rPr>
        <w:t xml:space="preserve"> are only our high level comments and we have not had the time to execute a proper line by line review of the draft. </w:t>
      </w:r>
    </w:p>
    <w:p w14:paraId="24AAEEB1" w14:textId="63A37C17" w:rsidR="00607D2F" w:rsidRDefault="00251EC5" w:rsidP="00B5112A">
      <w:pPr>
        <w:spacing w:before="100" w:beforeAutospacing="1" w:after="100" w:afterAutospacing="1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Taking into account all the risks mentioned, w</w:t>
      </w:r>
      <w:r w:rsidR="00EF73A1">
        <w:rPr>
          <w:rFonts w:eastAsia="Times New Roman"/>
          <w:color w:val="000000"/>
        </w:rPr>
        <w:t xml:space="preserve">e recommend NEASB </w:t>
      </w:r>
      <w:r w:rsidR="00B5112A">
        <w:rPr>
          <w:rFonts w:eastAsia="Times New Roman"/>
          <w:color w:val="000000"/>
        </w:rPr>
        <w:t xml:space="preserve">considers </w:t>
      </w:r>
      <w:r>
        <w:rPr>
          <w:rFonts w:eastAsia="Times New Roman"/>
          <w:color w:val="000000"/>
        </w:rPr>
        <w:t xml:space="preserve">seriously </w:t>
      </w:r>
      <w:proofErr w:type="spellStart"/>
      <w:r w:rsidR="001830F8">
        <w:rPr>
          <w:rFonts w:eastAsia="Times New Roman"/>
          <w:color w:val="000000"/>
        </w:rPr>
        <w:t>MiQ’s</w:t>
      </w:r>
      <w:proofErr w:type="spellEnd"/>
      <w:r w:rsidR="00B5112A">
        <w:rPr>
          <w:rFonts w:eastAsia="Times New Roman"/>
          <w:color w:val="000000"/>
        </w:rPr>
        <w:t xml:space="preserve"> high level comments at its meeting on the 16</w:t>
      </w:r>
      <w:r w:rsidR="00B5112A" w:rsidRPr="00B5112A">
        <w:rPr>
          <w:rFonts w:eastAsia="Times New Roman"/>
          <w:color w:val="000000"/>
          <w:vertAlign w:val="superscript"/>
        </w:rPr>
        <w:t>th</w:t>
      </w:r>
      <w:r w:rsidR="00B5112A">
        <w:rPr>
          <w:rFonts w:eastAsia="Times New Roman"/>
          <w:color w:val="000000"/>
        </w:rPr>
        <w:t xml:space="preserve"> to </w:t>
      </w:r>
      <w:r w:rsidR="009D661E">
        <w:rPr>
          <w:rFonts w:eastAsia="Times New Roman"/>
          <w:color w:val="000000"/>
        </w:rPr>
        <w:t xml:space="preserve">work on a </w:t>
      </w:r>
      <w:r w:rsidR="00B5112A">
        <w:rPr>
          <w:rFonts w:eastAsia="Times New Roman"/>
          <w:color w:val="000000"/>
        </w:rPr>
        <w:t xml:space="preserve">redraft the Addendum and </w:t>
      </w:r>
      <w:r w:rsidR="009D661E">
        <w:rPr>
          <w:rFonts w:eastAsia="Times New Roman"/>
          <w:color w:val="000000"/>
        </w:rPr>
        <w:t>subsequently</w:t>
      </w:r>
      <w:r w:rsidR="00B5112A">
        <w:rPr>
          <w:rFonts w:eastAsia="Times New Roman"/>
          <w:color w:val="000000"/>
        </w:rPr>
        <w:t xml:space="preserve"> requests a </w:t>
      </w:r>
      <w:r w:rsidR="009D0308">
        <w:rPr>
          <w:rFonts w:eastAsia="Times New Roman"/>
          <w:color w:val="000000"/>
        </w:rPr>
        <w:t xml:space="preserve">new </w:t>
      </w:r>
      <w:r w:rsidR="00B5112A">
        <w:rPr>
          <w:rFonts w:eastAsia="Times New Roman"/>
          <w:color w:val="000000"/>
        </w:rPr>
        <w:t xml:space="preserve">review from interested stakeholders. </w:t>
      </w:r>
    </w:p>
    <w:p w14:paraId="4C2A969D" w14:textId="77777777" w:rsidR="00B5112A" w:rsidRDefault="00B5112A" w:rsidP="00B5112A">
      <w:pPr>
        <w:spacing w:before="100" w:beforeAutospacing="1" w:after="100" w:afterAutospacing="1"/>
        <w:ind w:left="360"/>
      </w:pPr>
    </w:p>
    <w:sectPr w:rsidR="00B5112A" w:rsidSect="007505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FEB"/>
    <w:multiLevelType w:val="hybridMultilevel"/>
    <w:tmpl w:val="5F98A15A"/>
    <w:lvl w:ilvl="0" w:tplc="0D827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F4FF7"/>
    <w:multiLevelType w:val="multilevel"/>
    <w:tmpl w:val="D426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593FD6"/>
    <w:multiLevelType w:val="hybridMultilevel"/>
    <w:tmpl w:val="44222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30631713">
    <w:abstractNumId w:val="2"/>
  </w:num>
  <w:num w:numId="2" w16cid:durableId="1558321217">
    <w:abstractNumId w:val="0"/>
  </w:num>
  <w:num w:numId="3" w16cid:durableId="692651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2F"/>
    <w:rsid w:val="0004240F"/>
    <w:rsid w:val="001830F8"/>
    <w:rsid w:val="001D290D"/>
    <w:rsid w:val="00251EC5"/>
    <w:rsid w:val="002F4808"/>
    <w:rsid w:val="00582025"/>
    <w:rsid w:val="00603DEA"/>
    <w:rsid w:val="00605571"/>
    <w:rsid w:val="00607D2F"/>
    <w:rsid w:val="006311B0"/>
    <w:rsid w:val="0075052A"/>
    <w:rsid w:val="0075349F"/>
    <w:rsid w:val="009D0308"/>
    <w:rsid w:val="009D661E"/>
    <w:rsid w:val="00A3742E"/>
    <w:rsid w:val="00A65FAF"/>
    <w:rsid w:val="00AA60F4"/>
    <w:rsid w:val="00B5112A"/>
    <w:rsid w:val="00BC3DBF"/>
    <w:rsid w:val="00C77F2C"/>
    <w:rsid w:val="00C800AD"/>
    <w:rsid w:val="00E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D77E3"/>
  <w15:chartTrackingRefBased/>
  <w15:docId w15:val="{B31573ED-C03B-A947-BF08-0E214F3D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D2F"/>
    <w:rPr>
      <w:rFonts w:ascii="Calibri" w:hAnsi="Calibri" w:cs="Calibr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D2F"/>
    <w:pPr>
      <w:spacing w:after="160" w:line="252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77F2C"/>
  </w:style>
  <w:style w:type="character" w:styleId="Hyperlink">
    <w:name w:val="Hyperlink"/>
    <w:basedOn w:val="DefaultParagraphFont"/>
    <w:uiPriority w:val="99"/>
    <w:unhideWhenUsed/>
    <w:rsid w:val="00C77F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miqregistry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45BD005686545AB666D0A609FBF67" ma:contentTypeVersion="12" ma:contentTypeDescription="Create a new document." ma:contentTypeScope="" ma:versionID="6d000d82500859f8b3e1d20b2eb7dd13">
  <xsd:schema xmlns:xsd="http://www.w3.org/2001/XMLSchema" xmlns:xs="http://www.w3.org/2001/XMLSchema" xmlns:p="http://schemas.microsoft.com/office/2006/metadata/properties" xmlns:ns2="6f83e03d-ca08-482b-a036-2df035d3303e" xmlns:ns3="e5747f92-6480-46ce-857d-02ed55474d09" targetNamespace="http://schemas.microsoft.com/office/2006/metadata/properties" ma:root="true" ma:fieldsID="dd31fec19a88bb93829b2dbe4cbdec46" ns2:_="" ns3:_="">
    <xsd:import namespace="6f83e03d-ca08-482b-a036-2df035d3303e"/>
    <xsd:import namespace="e5747f92-6480-46ce-857d-02ed55474d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3e03d-ca08-482b-a036-2df035d33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47f92-6480-46ce-857d-02ed55474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837A8-1A09-4575-8D9B-3CA7AD957D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CA1355-847E-4AB4-A01D-77AF79DAE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3e03d-ca08-482b-a036-2df035d3303e"/>
    <ds:schemaRef ds:uri="e5747f92-6480-46ce-857d-02ed55474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Tijbosch</dc:creator>
  <cp:keywords/>
  <dc:description/>
  <cp:lastModifiedBy>Georges Tijbosch</cp:lastModifiedBy>
  <cp:revision>14</cp:revision>
  <dcterms:created xsi:type="dcterms:W3CDTF">2022-06-14T21:07:00Z</dcterms:created>
  <dcterms:modified xsi:type="dcterms:W3CDTF">2022-06-14T21:42:00Z</dcterms:modified>
</cp:coreProperties>
</file>