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D99BC" w14:textId="515AD45C" w:rsidR="0031328E" w:rsidRPr="00FA2B6F" w:rsidRDefault="00FA2B6F" w:rsidP="00F0228E">
      <w:pPr>
        <w:spacing w:after="0"/>
        <w:rPr>
          <w:rFonts w:ascii="Times New Roman" w:hAnsi="Times New Roman" w:cs="Times New Roman"/>
          <w:b/>
          <w:sz w:val="24"/>
          <w:szCs w:val="24"/>
        </w:rPr>
      </w:pPr>
      <w:r w:rsidRPr="00FA2B6F">
        <w:rPr>
          <w:rFonts w:ascii="Times New Roman" w:hAnsi="Times New Roman" w:cs="Times New Roman"/>
          <w:b/>
          <w:sz w:val="24"/>
          <w:szCs w:val="24"/>
        </w:rPr>
        <w:t>WGQ EDM and RMQ IR/TEIS Work Paper</w:t>
      </w:r>
    </w:p>
    <w:p w14:paraId="458F8A6D" w14:textId="01574006" w:rsidR="00F0228E" w:rsidRPr="00FA2B6F" w:rsidRDefault="00FA2B6F" w:rsidP="00F0228E">
      <w:pPr>
        <w:spacing w:after="0"/>
        <w:rPr>
          <w:rFonts w:ascii="Times New Roman" w:hAnsi="Times New Roman" w:cs="Times New Roman"/>
          <w:sz w:val="24"/>
          <w:szCs w:val="24"/>
        </w:rPr>
      </w:pPr>
      <w:r w:rsidRPr="00FA2B6F">
        <w:rPr>
          <w:rFonts w:ascii="Times New Roman" w:hAnsi="Times New Roman" w:cs="Times New Roman"/>
          <w:sz w:val="24"/>
          <w:szCs w:val="24"/>
        </w:rPr>
        <w:t>05/21/20</w:t>
      </w:r>
    </w:p>
    <w:p w14:paraId="2EBE5C3A" w14:textId="77777777" w:rsidR="00EA5994" w:rsidRPr="00FA2B6F" w:rsidRDefault="00EA5994" w:rsidP="00F0228E">
      <w:pPr>
        <w:spacing w:after="0"/>
        <w:rPr>
          <w:rFonts w:ascii="Times New Roman" w:hAnsi="Times New Roman" w:cs="Times New Roman"/>
          <w:b/>
          <w:i/>
          <w:sz w:val="24"/>
          <w:szCs w:val="24"/>
        </w:rPr>
      </w:pPr>
    </w:p>
    <w:tbl>
      <w:tblPr>
        <w:tblStyle w:val="TableGrid"/>
        <w:tblW w:w="13140" w:type="dxa"/>
        <w:tblInd w:w="-432" w:type="dxa"/>
        <w:tblLayout w:type="fixed"/>
        <w:tblLook w:val="04A0" w:firstRow="1" w:lastRow="0" w:firstColumn="1" w:lastColumn="0" w:noHBand="0" w:noVBand="1"/>
      </w:tblPr>
      <w:tblGrid>
        <w:gridCol w:w="810"/>
        <w:gridCol w:w="900"/>
        <w:gridCol w:w="3060"/>
        <w:gridCol w:w="4050"/>
        <w:gridCol w:w="2160"/>
        <w:gridCol w:w="2160"/>
      </w:tblGrid>
      <w:tr w:rsidR="00A6296A" w:rsidRPr="00FA2B6F" w14:paraId="4B857056" w14:textId="77777777" w:rsidTr="00663D5E">
        <w:tc>
          <w:tcPr>
            <w:tcW w:w="810" w:type="dxa"/>
          </w:tcPr>
          <w:p w14:paraId="57E4F4BC" w14:textId="77777777" w:rsidR="00AA5125" w:rsidRPr="00FA2B6F" w:rsidRDefault="009662CB">
            <w:pPr>
              <w:rPr>
                <w:rFonts w:ascii="Times New Roman" w:hAnsi="Times New Roman" w:cs="Times New Roman"/>
                <w:b/>
                <w:sz w:val="24"/>
                <w:szCs w:val="24"/>
              </w:rPr>
            </w:pPr>
            <w:r w:rsidRPr="00FA2B6F">
              <w:rPr>
                <w:rFonts w:ascii="Times New Roman" w:hAnsi="Times New Roman" w:cs="Times New Roman"/>
                <w:b/>
                <w:sz w:val="24"/>
                <w:szCs w:val="24"/>
              </w:rPr>
              <w:t>Sandia Issue</w:t>
            </w:r>
            <w:r w:rsidR="00AA5125" w:rsidRPr="00FA2B6F">
              <w:rPr>
                <w:rFonts w:ascii="Times New Roman" w:hAnsi="Times New Roman" w:cs="Times New Roman"/>
                <w:b/>
                <w:sz w:val="24"/>
                <w:szCs w:val="24"/>
                <w:vertAlign w:val="superscript"/>
              </w:rPr>
              <w:t>1</w:t>
            </w:r>
          </w:p>
        </w:tc>
        <w:tc>
          <w:tcPr>
            <w:tcW w:w="900" w:type="dxa"/>
          </w:tcPr>
          <w:p w14:paraId="058DBE12" w14:textId="77777777" w:rsidR="00AA5125" w:rsidRPr="00FA2B6F" w:rsidRDefault="00A6296A">
            <w:pPr>
              <w:rPr>
                <w:rFonts w:ascii="Times New Roman" w:hAnsi="Times New Roman" w:cs="Times New Roman"/>
                <w:b/>
                <w:sz w:val="24"/>
                <w:szCs w:val="24"/>
              </w:rPr>
            </w:pPr>
            <w:r w:rsidRPr="00FA2B6F">
              <w:rPr>
                <w:rFonts w:ascii="Times New Roman" w:hAnsi="Times New Roman" w:cs="Times New Roman"/>
                <w:b/>
                <w:sz w:val="24"/>
                <w:szCs w:val="24"/>
              </w:rPr>
              <w:t>Sandia Report</w:t>
            </w:r>
            <w:r w:rsidR="00AA5125" w:rsidRPr="00FA2B6F">
              <w:rPr>
                <w:rFonts w:ascii="Times New Roman" w:hAnsi="Times New Roman" w:cs="Times New Roman"/>
                <w:b/>
                <w:sz w:val="24"/>
                <w:szCs w:val="24"/>
                <w:vertAlign w:val="superscript"/>
              </w:rPr>
              <w:t>2</w:t>
            </w:r>
          </w:p>
        </w:tc>
        <w:tc>
          <w:tcPr>
            <w:tcW w:w="3060" w:type="dxa"/>
          </w:tcPr>
          <w:p w14:paraId="29C16FFD" w14:textId="77777777" w:rsidR="00AA5125" w:rsidRPr="00FA2B6F" w:rsidRDefault="009C6DC3">
            <w:pPr>
              <w:rPr>
                <w:rFonts w:ascii="Times New Roman" w:hAnsi="Times New Roman" w:cs="Times New Roman"/>
                <w:b/>
                <w:sz w:val="24"/>
                <w:szCs w:val="24"/>
              </w:rPr>
            </w:pPr>
            <w:r w:rsidRPr="00FA2B6F">
              <w:rPr>
                <w:rFonts w:ascii="Times New Roman" w:hAnsi="Times New Roman" w:cs="Times New Roman"/>
                <w:b/>
                <w:sz w:val="24"/>
                <w:szCs w:val="24"/>
              </w:rPr>
              <w:t>Issue Summary</w:t>
            </w:r>
          </w:p>
        </w:tc>
        <w:tc>
          <w:tcPr>
            <w:tcW w:w="4050" w:type="dxa"/>
          </w:tcPr>
          <w:p w14:paraId="7CF20044" w14:textId="77777777" w:rsidR="00AA5125" w:rsidRPr="00FA2B6F" w:rsidRDefault="00AA5125" w:rsidP="0031328E">
            <w:pPr>
              <w:rPr>
                <w:rFonts w:ascii="Times New Roman" w:hAnsi="Times New Roman" w:cs="Times New Roman"/>
                <w:b/>
                <w:sz w:val="24"/>
                <w:szCs w:val="24"/>
              </w:rPr>
            </w:pPr>
            <w:r w:rsidRPr="00FA2B6F">
              <w:rPr>
                <w:rFonts w:ascii="Times New Roman" w:hAnsi="Times New Roman" w:cs="Times New Roman"/>
                <w:b/>
                <w:sz w:val="24"/>
                <w:szCs w:val="24"/>
              </w:rPr>
              <w:t>NAESB Response</w:t>
            </w:r>
          </w:p>
        </w:tc>
        <w:tc>
          <w:tcPr>
            <w:tcW w:w="2160" w:type="dxa"/>
          </w:tcPr>
          <w:p w14:paraId="6B013C38" w14:textId="77777777" w:rsidR="00AA5125" w:rsidRPr="00FA2B6F" w:rsidRDefault="009C6DC3" w:rsidP="009C6DC3">
            <w:pPr>
              <w:rPr>
                <w:rFonts w:ascii="Times New Roman" w:hAnsi="Times New Roman" w:cs="Times New Roman"/>
                <w:b/>
                <w:sz w:val="24"/>
                <w:szCs w:val="24"/>
              </w:rPr>
            </w:pPr>
            <w:r w:rsidRPr="00FA2B6F">
              <w:rPr>
                <w:rFonts w:ascii="Times New Roman" w:hAnsi="Times New Roman" w:cs="Times New Roman"/>
                <w:b/>
                <w:sz w:val="24"/>
                <w:szCs w:val="24"/>
              </w:rPr>
              <w:t>WGQ</w:t>
            </w:r>
            <w:r w:rsidR="00AA5125" w:rsidRPr="00FA2B6F">
              <w:rPr>
                <w:rFonts w:ascii="Times New Roman" w:hAnsi="Times New Roman" w:cs="Times New Roman"/>
                <w:b/>
                <w:sz w:val="24"/>
                <w:szCs w:val="24"/>
              </w:rPr>
              <w:t xml:space="preserve"> Standards </w:t>
            </w:r>
            <w:r w:rsidR="00663D5E" w:rsidRPr="00FA2B6F">
              <w:rPr>
                <w:rFonts w:ascii="Times New Roman" w:hAnsi="Times New Roman" w:cs="Times New Roman"/>
                <w:b/>
                <w:sz w:val="24"/>
                <w:szCs w:val="24"/>
              </w:rPr>
              <w:t>created/</w:t>
            </w:r>
            <w:r w:rsidR="00A6296A" w:rsidRPr="00FA2B6F">
              <w:rPr>
                <w:rFonts w:ascii="Times New Roman" w:hAnsi="Times New Roman" w:cs="Times New Roman"/>
                <w:b/>
                <w:sz w:val="24"/>
                <w:szCs w:val="24"/>
              </w:rPr>
              <w:t>m</w:t>
            </w:r>
            <w:r w:rsidRPr="00FA2B6F">
              <w:rPr>
                <w:rFonts w:ascii="Times New Roman" w:hAnsi="Times New Roman" w:cs="Times New Roman"/>
                <w:b/>
                <w:sz w:val="24"/>
                <w:szCs w:val="24"/>
              </w:rPr>
              <w:t>odified in response to this issue</w:t>
            </w:r>
          </w:p>
        </w:tc>
        <w:tc>
          <w:tcPr>
            <w:tcW w:w="2160" w:type="dxa"/>
          </w:tcPr>
          <w:p w14:paraId="29701294" w14:textId="77777777" w:rsidR="00AA5125" w:rsidRPr="00FA2B6F" w:rsidRDefault="009C6DC3" w:rsidP="0031328E">
            <w:pPr>
              <w:rPr>
                <w:rFonts w:ascii="Times New Roman" w:hAnsi="Times New Roman" w:cs="Times New Roman"/>
                <w:b/>
                <w:sz w:val="24"/>
                <w:szCs w:val="24"/>
              </w:rPr>
            </w:pPr>
            <w:r w:rsidRPr="00FA2B6F">
              <w:rPr>
                <w:rFonts w:ascii="Times New Roman" w:hAnsi="Times New Roman" w:cs="Times New Roman"/>
                <w:b/>
                <w:sz w:val="24"/>
                <w:szCs w:val="24"/>
              </w:rPr>
              <w:t xml:space="preserve">RMQ Standards </w:t>
            </w:r>
            <w:r w:rsidR="00663D5E" w:rsidRPr="00FA2B6F">
              <w:rPr>
                <w:rFonts w:ascii="Times New Roman" w:hAnsi="Times New Roman" w:cs="Times New Roman"/>
                <w:b/>
                <w:sz w:val="24"/>
                <w:szCs w:val="24"/>
              </w:rPr>
              <w:t>created/</w:t>
            </w:r>
            <w:r w:rsidR="00A6296A" w:rsidRPr="00FA2B6F">
              <w:rPr>
                <w:rFonts w:ascii="Times New Roman" w:hAnsi="Times New Roman" w:cs="Times New Roman"/>
                <w:b/>
                <w:sz w:val="24"/>
                <w:szCs w:val="24"/>
              </w:rPr>
              <w:t>m</w:t>
            </w:r>
            <w:r w:rsidRPr="00FA2B6F">
              <w:rPr>
                <w:rFonts w:ascii="Times New Roman" w:hAnsi="Times New Roman" w:cs="Times New Roman"/>
                <w:b/>
                <w:sz w:val="24"/>
                <w:szCs w:val="24"/>
              </w:rPr>
              <w:t>odified in response to this issue</w:t>
            </w:r>
          </w:p>
        </w:tc>
      </w:tr>
      <w:tr w:rsidR="00CA4357" w:rsidRPr="00FA2B6F" w14:paraId="25FAD22D" w14:textId="77777777" w:rsidTr="00663D5E">
        <w:tc>
          <w:tcPr>
            <w:tcW w:w="810" w:type="dxa"/>
          </w:tcPr>
          <w:p w14:paraId="189553E5" w14:textId="77777777" w:rsidR="00CA4357" w:rsidRPr="00CD5108" w:rsidRDefault="00CA4357">
            <w:pPr>
              <w:rPr>
                <w:rFonts w:ascii="Times New Roman" w:hAnsi="Times New Roman" w:cs="Times New Roman"/>
                <w:sz w:val="24"/>
                <w:szCs w:val="24"/>
              </w:rPr>
            </w:pPr>
            <w:r w:rsidRPr="00CD5108">
              <w:rPr>
                <w:rFonts w:ascii="Times New Roman" w:hAnsi="Times New Roman" w:cs="Times New Roman"/>
                <w:sz w:val="24"/>
                <w:szCs w:val="24"/>
              </w:rPr>
              <w:t>13</w:t>
            </w:r>
          </w:p>
        </w:tc>
        <w:tc>
          <w:tcPr>
            <w:tcW w:w="900" w:type="dxa"/>
          </w:tcPr>
          <w:p w14:paraId="33C03E07"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BusOps</w:t>
            </w:r>
          </w:p>
        </w:tc>
        <w:tc>
          <w:tcPr>
            <w:tcW w:w="3060" w:type="dxa"/>
          </w:tcPr>
          <w:p w14:paraId="7118511B" w14:textId="77777777" w:rsidR="00CA4357" w:rsidRPr="00FA2B6F" w:rsidRDefault="00CA4357" w:rsidP="00B266AA">
            <w:pPr>
              <w:rPr>
                <w:rFonts w:ascii="Times New Roman" w:hAnsi="Times New Roman" w:cs="Times New Roman"/>
                <w:sz w:val="24"/>
                <w:szCs w:val="24"/>
              </w:rPr>
            </w:pPr>
            <w:r w:rsidRPr="00FA2B6F">
              <w:rPr>
                <w:rFonts w:ascii="Times New Roman" w:hAnsi="Times New Roman" w:cs="Times New Roman"/>
                <w:sz w:val="24"/>
                <w:szCs w:val="24"/>
              </w:rPr>
              <w:t>Consider options to mitigate replay and amplification attacks</w:t>
            </w:r>
          </w:p>
        </w:tc>
        <w:tc>
          <w:tcPr>
            <w:tcW w:w="4050" w:type="dxa"/>
          </w:tcPr>
          <w:p w14:paraId="4CEC6C59"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
          <w:p w14:paraId="25056FC5" w14:textId="77777777" w:rsidR="00CA4357" w:rsidRPr="00FA2B6F" w:rsidRDefault="00CA4357">
            <w:pPr>
              <w:rPr>
                <w:rFonts w:ascii="Times New Roman" w:hAnsi="Times New Roman" w:cs="Times New Roman"/>
                <w:sz w:val="24"/>
                <w:szCs w:val="24"/>
              </w:rPr>
            </w:pPr>
          </w:p>
        </w:tc>
        <w:tc>
          <w:tcPr>
            <w:tcW w:w="2160" w:type="dxa"/>
          </w:tcPr>
          <w:p w14:paraId="5C9D9F72" w14:textId="77777777" w:rsidR="00CA4357" w:rsidRPr="00FA2B6F" w:rsidRDefault="00CA4357">
            <w:pPr>
              <w:rPr>
                <w:rFonts w:ascii="Times New Roman" w:hAnsi="Times New Roman" w:cs="Times New Roman"/>
                <w:sz w:val="24"/>
                <w:szCs w:val="24"/>
              </w:rPr>
            </w:pPr>
          </w:p>
        </w:tc>
      </w:tr>
      <w:tr w:rsidR="00CA4357" w:rsidRPr="00FA2B6F" w14:paraId="4AFFFDBC" w14:textId="77777777" w:rsidTr="00663D5E">
        <w:tc>
          <w:tcPr>
            <w:tcW w:w="810" w:type="dxa"/>
          </w:tcPr>
          <w:p w14:paraId="2DCF4B6E" w14:textId="77777777" w:rsidR="00CA4357" w:rsidRPr="00CD5108" w:rsidRDefault="00CA4357">
            <w:pPr>
              <w:rPr>
                <w:rFonts w:ascii="Times New Roman" w:hAnsi="Times New Roman" w:cs="Times New Roman"/>
                <w:sz w:val="24"/>
                <w:szCs w:val="24"/>
              </w:rPr>
            </w:pPr>
            <w:r w:rsidRPr="00CD5108">
              <w:rPr>
                <w:rFonts w:ascii="Times New Roman" w:hAnsi="Times New Roman" w:cs="Times New Roman"/>
                <w:sz w:val="24"/>
                <w:szCs w:val="24"/>
              </w:rPr>
              <w:t>5</w:t>
            </w:r>
          </w:p>
        </w:tc>
        <w:tc>
          <w:tcPr>
            <w:tcW w:w="900" w:type="dxa"/>
          </w:tcPr>
          <w:p w14:paraId="048D7F39" w14:textId="77777777" w:rsidR="00CA4357" w:rsidRPr="00FA2B6F" w:rsidRDefault="00CA4357" w:rsidP="009662CB">
            <w:pPr>
              <w:rPr>
                <w:rFonts w:ascii="Times New Roman" w:hAnsi="Times New Roman" w:cs="Times New Roman"/>
                <w:sz w:val="24"/>
                <w:szCs w:val="24"/>
              </w:rPr>
            </w:pPr>
            <w:r w:rsidRPr="00FA2B6F">
              <w:rPr>
                <w:rFonts w:ascii="Times New Roman" w:hAnsi="Times New Roman" w:cs="Times New Roman"/>
                <w:sz w:val="24"/>
                <w:szCs w:val="24"/>
              </w:rPr>
              <w:t>Add</w:t>
            </w:r>
          </w:p>
        </w:tc>
        <w:tc>
          <w:tcPr>
            <w:tcW w:w="3060" w:type="dxa"/>
          </w:tcPr>
          <w:p w14:paraId="43567364"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Whitelisting</w:t>
            </w:r>
          </w:p>
        </w:tc>
        <w:tc>
          <w:tcPr>
            <w:tcW w:w="4050" w:type="dxa"/>
          </w:tcPr>
          <w:p w14:paraId="66959A51"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
          <w:p w14:paraId="144E1136" w14:textId="77777777" w:rsidR="00CA4357" w:rsidRPr="00FA2B6F" w:rsidRDefault="00CA4357">
            <w:pPr>
              <w:rPr>
                <w:rFonts w:ascii="Times New Roman" w:hAnsi="Times New Roman" w:cs="Times New Roman"/>
                <w:sz w:val="24"/>
                <w:szCs w:val="24"/>
              </w:rPr>
            </w:pPr>
          </w:p>
        </w:tc>
        <w:tc>
          <w:tcPr>
            <w:tcW w:w="2160" w:type="dxa"/>
          </w:tcPr>
          <w:p w14:paraId="11F6FACB" w14:textId="77777777" w:rsidR="00CA4357" w:rsidRPr="00FA2B6F" w:rsidRDefault="00CA4357">
            <w:pPr>
              <w:rPr>
                <w:rFonts w:ascii="Times New Roman" w:hAnsi="Times New Roman" w:cs="Times New Roman"/>
                <w:sz w:val="24"/>
                <w:szCs w:val="24"/>
              </w:rPr>
            </w:pPr>
          </w:p>
        </w:tc>
      </w:tr>
      <w:tr w:rsidR="00CA4357" w:rsidRPr="00FA2B6F" w14:paraId="00AD8260" w14:textId="77777777" w:rsidTr="00663D5E">
        <w:tc>
          <w:tcPr>
            <w:tcW w:w="810" w:type="dxa"/>
          </w:tcPr>
          <w:p w14:paraId="34F47996" w14:textId="1EA56E97" w:rsidR="00CA4357" w:rsidRPr="00FA2B6F" w:rsidRDefault="00CA4357">
            <w:pPr>
              <w:rPr>
                <w:rFonts w:ascii="Times New Roman" w:hAnsi="Times New Roman" w:cs="Times New Roman"/>
                <w:sz w:val="24"/>
                <w:szCs w:val="24"/>
              </w:rPr>
            </w:pPr>
          </w:p>
        </w:tc>
        <w:tc>
          <w:tcPr>
            <w:tcW w:w="900" w:type="dxa"/>
          </w:tcPr>
          <w:p w14:paraId="21E938C6" w14:textId="77777777" w:rsidR="00CA4357" w:rsidRPr="00FA2B6F" w:rsidRDefault="00CA4357">
            <w:pPr>
              <w:rPr>
                <w:rFonts w:ascii="Times New Roman" w:hAnsi="Times New Roman" w:cs="Times New Roman"/>
                <w:sz w:val="24"/>
                <w:szCs w:val="24"/>
              </w:rPr>
            </w:pPr>
          </w:p>
        </w:tc>
        <w:tc>
          <w:tcPr>
            <w:tcW w:w="3060" w:type="dxa"/>
          </w:tcPr>
          <w:p w14:paraId="0B33D023" w14:textId="77777777" w:rsidR="00CA4357" w:rsidRPr="00FA2B6F" w:rsidRDefault="00CA4357">
            <w:pPr>
              <w:rPr>
                <w:rFonts w:ascii="Times New Roman" w:hAnsi="Times New Roman" w:cs="Times New Roman"/>
                <w:sz w:val="24"/>
                <w:szCs w:val="24"/>
              </w:rPr>
            </w:pPr>
            <w:r w:rsidRPr="00FA2B6F">
              <w:rPr>
                <w:rFonts w:ascii="Times New Roman" w:hAnsi="Times New Roman" w:cs="Times New Roman"/>
                <w:sz w:val="24"/>
                <w:szCs w:val="24"/>
              </w:rPr>
              <w:t>Refnum</w:t>
            </w:r>
          </w:p>
        </w:tc>
        <w:tc>
          <w:tcPr>
            <w:tcW w:w="4050" w:type="dxa"/>
          </w:tcPr>
          <w:p w14:paraId="5DC477C6" w14:textId="77777777" w:rsidR="00CA4357" w:rsidRPr="00FA2B6F" w:rsidRDefault="004D129F">
            <w:pPr>
              <w:rPr>
                <w:rFonts w:ascii="Times New Roman" w:hAnsi="Times New Roman" w:cs="Times New Roman"/>
                <w:sz w:val="24"/>
                <w:szCs w:val="24"/>
              </w:rPr>
            </w:pPr>
            <w:r w:rsidRPr="00FA2B6F">
              <w:rPr>
                <w:rFonts w:ascii="Times New Roman" w:hAnsi="Times New Roman" w:cs="Times New Roman"/>
                <w:sz w:val="24"/>
                <w:szCs w:val="24"/>
              </w:rPr>
              <w:t>TBD</w:t>
            </w:r>
          </w:p>
        </w:tc>
        <w:tc>
          <w:tcPr>
            <w:tcW w:w="2160" w:type="dxa"/>
          </w:tcPr>
          <w:p w14:paraId="5533D573" w14:textId="77777777" w:rsidR="00CA4357" w:rsidRPr="00FA2B6F" w:rsidRDefault="00CA4357">
            <w:pPr>
              <w:rPr>
                <w:rFonts w:ascii="Times New Roman" w:hAnsi="Times New Roman" w:cs="Times New Roman"/>
                <w:sz w:val="24"/>
                <w:szCs w:val="24"/>
              </w:rPr>
            </w:pPr>
          </w:p>
        </w:tc>
        <w:tc>
          <w:tcPr>
            <w:tcW w:w="2160" w:type="dxa"/>
          </w:tcPr>
          <w:p w14:paraId="4090738B" w14:textId="77777777" w:rsidR="00CA4357" w:rsidRPr="00FA2B6F" w:rsidRDefault="00CA4357">
            <w:pPr>
              <w:rPr>
                <w:rFonts w:ascii="Times New Roman" w:hAnsi="Times New Roman" w:cs="Times New Roman"/>
                <w:sz w:val="24"/>
                <w:szCs w:val="24"/>
              </w:rPr>
            </w:pPr>
          </w:p>
        </w:tc>
      </w:tr>
    </w:tbl>
    <w:p w14:paraId="1B6F5F6A" w14:textId="77777777" w:rsidR="00F0228E" w:rsidRPr="00FA2B6F" w:rsidRDefault="00F0228E" w:rsidP="00AA5125">
      <w:pPr>
        <w:spacing w:after="0"/>
        <w:rPr>
          <w:rFonts w:ascii="Times New Roman" w:hAnsi="Times New Roman" w:cs="Times New Roman"/>
          <w:sz w:val="24"/>
          <w:szCs w:val="24"/>
        </w:rPr>
      </w:pPr>
    </w:p>
    <w:p w14:paraId="1AAC2460" w14:textId="77777777" w:rsidR="00AA5125" w:rsidRPr="00FA2B6F" w:rsidRDefault="00AA5125" w:rsidP="00AA5125">
      <w:pPr>
        <w:spacing w:after="0"/>
        <w:rPr>
          <w:rFonts w:ascii="Times New Roman" w:hAnsi="Times New Roman" w:cs="Times New Roman"/>
          <w:sz w:val="24"/>
          <w:szCs w:val="24"/>
        </w:rPr>
      </w:pPr>
      <w:r w:rsidRPr="00FA2B6F">
        <w:rPr>
          <w:rFonts w:ascii="Times New Roman" w:hAnsi="Times New Roman" w:cs="Times New Roman"/>
          <w:sz w:val="24"/>
          <w:szCs w:val="24"/>
          <w:vertAlign w:val="superscript"/>
        </w:rPr>
        <w:t>1</w:t>
      </w:r>
      <w:r w:rsidRPr="00FA2B6F">
        <w:rPr>
          <w:rFonts w:ascii="Times New Roman" w:hAnsi="Times New Roman" w:cs="Times New Roman"/>
          <w:sz w:val="24"/>
          <w:szCs w:val="24"/>
        </w:rPr>
        <w:t xml:space="preserve"> Not all identified issues were relevant to WGQ/RMQ, so the issue numbering contains gaps.</w:t>
      </w:r>
    </w:p>
    <w:p w14:paraId="58FC4510" w14:textId="2BB3B2BF" w:rsidR="00AA5125" w:rsidRPr="00FA2B6F" w:rsidRDefault="00AA5125" w:rsidP="00AA5125">
      <w:pPr>
        <w:spacing w:after="0"/>
        <w:rPr>
          <w:rFonts w:ascii="Times New Roman" w:hAnsi="Times New Roman" w:cs="Times New Roman"/>
          <w:sz w:val="24"/>
          <w:szCs w:val="24"/>
        </w:rPr>
      </w:pPr>
      <w:r w:rsidRPr="00FA2B6F">
        <w:rPr>
          <w:rFonts w:ascii="Times New Roman" w:hAnsi="Times New Roman" w:cs="Times New Roman"/>
          <w:sz w:val="24"/>
          <w:szCs w:val="24"/>
          <w:vertAlign w:val="superscript"/>
        </w:rPr>
        <w:t>2</w:t>
      </w:r>
      <w:r w:rsidRPr="00FA2B6F">
        <w:rPr>
          <w:rFonts w:ascii="Times New Roman" w:hAnsi="Times New Roman" w:cs="Times New Roman"/>
          <w:sz w:val="24"/>
          <w:szCs w:val="24"/>
        </w:rPr>
        <w:t xml:space="preserve"> BusOps = Business Operations Practices and Standards Report; Add = Addendum Report</w:t>
      </w:r>
    </w:p>
    <w:tbl>
      <w:tblPr>
        <w:tblStyle w:val="TableGrid"/>
        <w:tblW w:w="0" w:type="auto"/>
        <w:tblLook w:val="04A0" w:firstRow="1" w:lastRow="0" w:firstColumn="1" w:lastColumn="0" w:noHBand="0" w:noVBand="1"/>
      </w:tblPr>
      <w:tblGrid>
        <w:gridCol w:w="648"/>
        <w:gridCol w:w="1912"/>
        <w:gridCol w:w="3701"/>
        <w:gridCol w:w="2731"/>
        <w:gridCol w:w="2148"/>
        <w:gridCol w:w="1810"/>
      </w:tblGrid>
      <w:tr w:rsidR="007808B7" w:rsidRPr="00FA2B6F" w14:paraId="46C354A1" w14:textId="2931D315" w:rsidTr="007808B7">
        <w:tc>
          <w:tcPr>
            <w:tcW w:w="655" w:type="dxa"/>
          </w:tcPr>
          <w:p w14:paraId="226CB1C6" w14:textId="77777777" w:rsidR="007808B7" w:rsidRPr="00FA2B6F" w:rsidRDefault="007808B7" w:rsidP="00681BCC">
            <w:pPr>
              <w:spacing w:before="120" w:after="120"/>
              <w:jc w:val="right"/>
              <w:rPr>
                <w:rFonts w:ascii="Times New Roman" w:hAnsi="Times New Roman" w:cs="Times New Roman"/>
                <w:sz w:val="24"/>
                <w:szCs w:val="24"/>
              </w:rPr>
            </w:pPr>
            <w:r w:rsidRPr="00FA2B6F">
              <w:rPr>
                <w:rFonts w:ascii="Times New Roman" w:hAnsi="Times New Roman" w:cs="Times New Roman"/>
                <w:sz w:val="24"/>
                <w:szCs w:val="24"/>
              </w:rPr>
              <w:t>13.</w:t>
            </w:r>
          </w:p>
        </w:tc>
        <w:tc>
          <w:tcPr>
            <w:tcW w:w="1942" w:type="dxa"/>
          </w:tcPr>
          <w:p w14:paraId="3EECCA14"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Business Operations Practices and Standards Report – Section 6.1.6 Continued Use of Different Security Paradigms (Pages 13 – 15)</w:t>
            </w:r>
          </w:p>
          <w:p w14:paraId="1D11303E"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(Table of Contents Section 6.2.3 Gas and </w:t>
            </w:r>
            <w:r w:rsidRPr="00FA2B6F">
              <w:rPr>
                <w:rFonts w:ascii="Times New Roman" w:hAnsi="Times New Roman" w:cs="Times New Roman"/>
                <w:sz w:val="24"/>
                <w:szCs w:val="24"/>
              </w:rPr>
              <w:lastRenderedPageBreak/>
              <w:t>Electric Industry Interactions)</w:t>
            </w:r>
          </w:p>
          <w:p w14:paraId="37747F3C" w14:textId="77777777" w:rsidR="007808B7" w:rsidRPr="00FA2B6F" w:rsidRDefault="007808B7" w:rsidP="00681BCC">
            <w:pPr>
              <w:spacing w:before="120" w:after="120"/>
              <w:rPr>
                <w:rFonts w:ascii="Times New Roman" w:hAnsi="Times New Roman" w:cs="Times New Roman"/>
                <w:sz w:val="24"/>
                <w:szCs w:val="24"/>
              </w:rPr>
            </w:pPr>
          </w:p>
        </w:tc>
        <w:tc>
          <w:tcPr>
            <w:tcW w:w="3775" w:type="dxa"/>
          </w:tcPr>
          <w:p w14:paraId="0B41E9EE" w14:textId="77777777" w:rsidR="007808B7" w:rsidRPr="00FA2B6F" w:rsidRDefault="007808B7" w:rsidP="00681BCC">
            <w:pPr>
              <w:spacing w:before="120" w:after="120"/>
              <w:jc w:val="both"/>
              <w:rPr>
                <w:rFonts w:ascii="Times New Roman" w:hAnsi="Times New Roman" w:cs="Times New Roman"/>
                <w:sz w:val="24"/>
                <w:szCs w:val="24"/>
              </w:rPr>
            </w:pPr>
            <w:r w:rsidRPr="00FA2B6F">
              <w:rPr>
                <w:rFonts w:ascii="Times New Roman" w:hAnsi="Times New Roman" w:cs="Times New Roman"/>
                <w:sz w:val="24"/>
                <w:szCs w:val="24"/>
              </w:rPr>
              <w:lastRenderedPageBreak/>
              <w:t>Finally, IET business process as currently implemented may be vulnerable to both replay</w:t>
            </w:r>
            <w:r w:rsidRPr="00FA2B6F">
              <w:rPr>
                <w:rStyle w:val="FootnoteReference"/>
                <w:rFonts w:ascii="Times New Roman" w:hAnsi="Times New Roman" w:cs="Times New Roman"/>
                <w:sz w:val="24"/>
                <w:szCs w:val="24"/>
              </w:rPr>
              <w:footnoteReference w:id="1"/>
            </w:r>
            <w:r w:rsidRPr="00FA2B6F">
              <w:rPr>
                <w:rFonts w:ascii="Times New Roman" w:hAnsi="Times New Roman" w:cs="Times New Roman"/>
                <w:sz w:val="24"/>
                <w:szCs w:val="24"/>
              </w:rPr>
              <w:t xml:space="preserve"> and amplification</w:t>
            </w:r>
            <w:r w:rsidRPr="00FA2B6F">
              <w:rPr>
                <w:rStyle w:val="FootnoteReference"/>
                <w:rFonts w:ascii="Times New Roman" w:hAnsi="Times New Roman" w:cs="Times New Roman"/>
                <w:sz w:val="24"/>
                <w:szCs w:val="24"/>
              </w:rPr>
              <w:footnoteReference w:id="2"/>
            </w:r>
            <w:r w:rsidRPr="00FA2B6F">
              <w:rPr>
                <w:rFonts w:ascii="Times New Roman" w:hAnsi="Times New Roman" w:cs="Times New Roman"/>
                <w:sz w:val="24"/>
                <w:szCs w:val="24"/>
              </w:rPr>
              <w:t xml:space="preserve"> attacks. Based on the assessment teams review of the transactional process these two attacks were immediately identified as attacks of concern…</w:t>
            </w:r>
          </w:p>
          <w:p w14:paraId="7AB80DB9"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Note that this attack is feasible even with payloads that are encrypted with foreign, untrusted keys, or with payloads that are filled with garbage bits. Two basic approaches exist to help eliminate this kind of </w:t>
            </w:r>
            <w:r w:rsidRPr="00FA2B6F">
              <w:rPr>
                <w:rFonts w:ascii="Times New Roman" w:hAnsi="Times New Roman" w:cs="Times New Roman"/>
                <w:sz w:val="24"/>
                <w:szCs w:val="24"/>
              </w:rPr>
              <w:lastRenderedPageBreak/>
              <w:t xml:space="preserve">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795" w:type="dxa"/>
          </w:tcPr>
          <w:p w14:paraId="01F3703E"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lastRenderedPageBreak/>
              <w:t>The subcommittees should consider standard(s) to address mitigation of replay and amplification attacks as aligned with recommended strategies</w:t>
            </w:r>
          </w:p>
        </w:tc>
        <w:tc>
          <w:tcPr>
            <w:tcW w:w="2181" w:type="dxa"/>
          </w:tcPr>
          <w:p w14:paraId="73259BB7"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Jointly between WGQ EDM and RMQ IR/TEIS</w:t>
            </w:r>
          </w:p>
          <w:p w14:paraId="04D3A73C"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WEQ Cybersecurity Subcommittee</w:t>
            </w:r>
          </w:p>
        </w:tc>
        <w:tc>
          <w:tcPr>
            <w:tcW w:w="1828" w:type="dxa"/>
          </w:tcPr>
          <w:p w14:paraId="777B85C2" w14:textId="77777777" w:rsidR="007808B7" w:rsidRPr="00FA2B6F" w:rsidRDefault="007808B7" w:rsidP="00681BCC">
            <w:pPr>
              <w:spacing w:before="120" w:after="120"/>
              <w:rPr>
                <w:rFonts w:ascii="Times New Roman" w:hAnsi="Times New Roman" w:cs="Times New Roman"/>
                <w:sz w:val="24"/>
                <w:szCs w:val="24"/>
              </w:rPr>
            </w:pPr>
          </w:p>
        </w:tc>
      </w:tr>
      <w:tr w:rsidR="007808B7" w:rsidRPr="00FA2B6F" w14:paraId="17B136C0" w14:textId="58C763B7" w:rsidTr="007808B7">
        <w:tc>
          <w:tcPr>
            <w:tcW w:w="655" w:type="dxa"/>
          </w:tcPr>
          <w:p w14:paraId="02146F70" w14:textId="77777777" w:rsidR="007808B7" w:rsidRPr="00FA2B6F" w:rsidRDefault="007808B7" w:rsidP="00681BCC">
            <w:pPr>
              <w:spacing w:before="120" w:after="120"/>
              <w:jc w:val="right"/>
              <w:rPr>
                <w:rFonts w:ascii="Times New Roman" w:hAnsi="Times New Roman" w:cs="Times New Roman"/>
                <w:sz w:val="24"/>
                <w:szCs w:val="24"/>
              </w:rPr>
            </w:pPr>
            <w:r w:rsidRPr="00FA2B6F">
              <w:rPr>
                <w:rFonts w:ascii="Times New Roman" w:hAnsi="Times New Roman" w:cs="Times New Roman"/>
                <w:sz w:val="24"/>
                <w:szCs w:val="24"/>
              </w:rPr>
              <w:t>5.</w:t>
            </w:r>
          </w:p>
        </w:tc>
        <w:tc>
          <w:tcPr>
            <w:tcW w:w="1942" w:type="dxa"/>
          </w:tcPr>
          <w:p w14:paraId="6503D65B"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Addendum Report Section 2.3.2 – Ukrainian Power Grid Attack (Pages 23 – 25)</w:t>
            </w:r>
          </w:p>
        </w:tc>
        <w:tc>
          <w:tcPr>
            <w:tcW w:w="3775" w:type="dxa"/>
          </w:tcPr>
          <w:p w14:paraId="5F434384" w14:textId="77777777" w:rsidR="007808B7" w:rsidRPr="00FA2B6F" w:rsidRDefault="007808B7" w:rsidP="00681BCC">
            <w:pPr>
              <w:spacing w:before="120" w:after="120" w:line="244" w:lineRule="auto"/>
              <w:jc w:val="both"/>
              <w:rPr>
                <w:rFonts w:ascii="Times New Roman" w:hAnsi="Times New Roman" w:cs="Times New Roman"/>
                <w:color w:val="000000"/>
                <w:sz w:val="24"/>
                <w:szCs w:val="24"/>
              </w:rPr>
            </w:pPr>
            <w:r w:rsidRPr="00FA2B6F">
              <w:rPr>
                <w:rFonts w:ascii="Times New Roman" w:hAnsi="Times New Roman" w:cs="Times New Roman"/>
                <w:color w:val="000000"/>
                <w:sz w:val="24"/>
                <w:szCs w:val="24"/>
              </w:rPr>
              <w:t>A relatively static communications environment, such as the NAESB-responsible systems, should definitely be considered for whitelisting. However, how whitelisting is implemented will be a hardware-specific implementation and thus outside NAESB standards scope. In consideration of the whitelisting ROI are several factors:</w:t>
            </w:r>
          </w:p>
          <w:p w14:paraId="3282035C" w14:textId="77777777" w:rsidR="007808B7" w:rsidRPr="00FA2B6F" w:rsidRDefault="007808B7" w:rsidP="007808B7">
            <w:pPr>
              <w:pStyle w:val="ListParagraph"/>
              <w:numPr>
                <w:ilvl w:val="0"/>
                <w:numId w:val="2"/>
              </w:numPr>
              <w:spacing w:before="120" w:after="120" w:line="245" w:lineRule="auto"/>
              <w:ind w:left="720"/>
              <w:jc w:val="both"/>
              <w:rPr>
                <w:rFonts w:ascii="Times New Roman" w:hAnsi="Times New Roman" w:cs="Times New Roman"/>
                <w:sz w:val="24"/>
                <w:szCs w:val="24"/>
              </w:rPr>
            </w:pPr>
            <w:r w:rsidRPr="00FA2B6F">
              <w:rPr>
                <w:rFonts w:ascii="Times New Roman" w:hAnsi="Times New Roman" w:cs="Times New Roman"/>
                <w:sz w:val="24"/>
                <w:szCs w:val="24"/>
              </w:rPr>
              <w:t xml:space="preserve">Some related information must be made publicly </w:t>
            </w:r>
            <w:r w:rsidRPr="00FA2B6F">
              <w:rPr>
                <w:rFonts w:ascii="Times New Roman" w:hAnsi="Times New Roman" w:cs="Times New Roman"/>
                <w:sz w:val="24"/>
                <w:szCs w:val="24"/>
              </w:rPr>
              <w:lastRenderedPageBreak/>
              <w:t xml:space="preserve">available and this must not be blocked by the whitelisting implementation. </w:t>
            </w:r>
          </w:p>
          <w:p w14:paraId="40C7A32F" w14:textId="77777777" w:rsidR="007808B7" w:rsidRPr="00FA2B6F" w:rsidRDefault="007808B7" w:rsidP="007808B7">
            <w:pPr>
              <w:pStyle w:val="ListParagraph"/>
              <w:numPr>
                <w:ilvl w:val="0"/>
                <w:numId w:val="2"/>
              </w:numPr>
              <w:spacing w:before="120" w:after="120" w:line="245" w:lineRule="auto"/>
              <w:ind w:left="720"/>
              <w:jc w:val="both"/>
              <w:rPr>
                <w:rFonts w:ascii="Times New Roman" w:hAnsi="Times New Roman" w:cs="Times New Roman"/>
                <w:sz w:val="24"/>
                <w:szCs w:val="24"/>
              </w:rPr>
            </w:pPr>
            <w:r w:rsidRPr="00FA2B6F">
              <w:rPr>
                <w:rFonts w:ascii="Times New Roman" w:hAnsi="Times New Roman" w:cs="Times New Roman"/>
                <w:sz w:val="24"/>
                <w:szCs w:val="24"/>
              </w:rPr>
              <w:t>Since NAESB standards do not specify the environment there could be negative impacts to non-EDI applications which are hosted on the same servers.</w:t>
            </w:r>
          </w:p>
          <w:p w14:paraId="45CC15D8" w14:textId="77777777" w:rsidR="007808B7" w:rsidRPr="00FA2B6F" w:rsidRDefault="007808B7" w:rsidP="00681BCC">
            <w:pPr>
              <w:spacing w:before="120" w:after="120"/>
              <w:jc w:val="both"/>
              <w:rPr>
                <w:rFonts w:ascii="Times New Roman" w:hAnsi="Times New Roman" w:cs="Times New Roman"/>
                <w:sz w:val="24"/>
                <w:szCs w:val="24"/>
              </w:rPr>
            </w:pPr>
            <w:r w:rsidRPr="00FA2B6F">
              <w:rPr>
                <w:rFonts w:ascii="Times New Roman" w:hAnsi="Times New Roman" w:cs="Times New Roman"/>
                <w:sz w:val="24"/>
                <w:szCs w:val="24"/>
              </w:rPr>
              <w:t>The whitelisting decision must consider the support environment. The point being that if a legitimate transaction is blocked by the whitelisting, how quickly could the error be corrected given coverage and capability of the support team?</w:t>
            </w:r>
          </w:p>
        </w:tc>
        <w:tc>
          <w:tcPr>
            <w:tcW w:w="2795" w:type="dxa"/>
          </w:tcPr>
          <w:p w14:paraId="416EDC28"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lastRenderedPageBreak/>
              <w:t>Subcommittees should consider standard(s) to incorporate whitelisting as a best practice which should be followed</w:t>
            </w:r>
          </w:p>
        </w:tc>
        <w:tc>
          <w:tcPr>
            <w:tcW w:w="2181" w:type="dxa"/>
          </w:tcPr>
          <w:p w14:paraId="5500B875" w14:textId="77777777" w:rsidR="007808B7" w:rsidRPr="00FA2B6F"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Jointly between WGQ EDM and RMQ IR/TEIS</w:t>
            </w:r>
          </w:p>
        </w:tc>
        <w:tc>
          <w:tcPr>
            <w:tcW w:w="1828" w:type="dxa"/>
          </w:tcPr>
          <w:p w14:paraId="73566B03" w14:textId="77777777" w:rsidR="007808B7" w:rsidRDefault="007808B7" w:rsidP="00681BCC">
            <w:pPr>
              <w:spacing w:before="120" w:after="120"/>
              <w:rPr>
                <w:rFonts w:ascii="Times New Roman" w:hAnsi="Times New Roman" w:cs="Times New Roman"/>
                <w:sz w:val="24"/>
                <w:szCs w:val="24"/>
              </w:rPr>
            </w:pPr>
            <w:r w:rsidRPr="00FA2B6F">
              <w:rPr>
                <w:rFonts w:ascii="Times New Roman" w:hAnsi="Times New Roman" w:cs="Times New Roman"/>
                <w:sz w:val="24"/>
                <w:szCs w:val="24"/>
              </w:rPr>
              <w:t xml:space="preserve">FAQ of Appendix B in </w:t>
            </w:r>
            <w:r w:rsidR="00CD5108">
              <w:rPr>
                <w:rFonts w:ascii="Times New Roman" w:hAnsi="Times New Roman" w:cs="Times New Roman"/>
                <w:sz w:val="24"/>
                <w:szCs w:val="24"/>
              </w:rPr>
              <w:t>IET</w:t>
            </w:r>
            <w:r w:rsidRPr="00FA2B6F">
              <w:rPr>
                <w:rFonts w:ascii="Times New Roman" w:hAnsi="Times New Roman" w:cs="Times New Roman"/>
                <w:sz w:val="24"/>
                <w:szCs w:val="24"/>
              </w:rPr>
              <w:t xml:space="preserve"> </w:t>
            </w:r>
            <w:r w:rsidR="00CD5108">
              <w:rPr>
                <w:rFonts w:ascii="Times New Roman" w:hAnsi="Times New Roman" w:cs="Times New Roman"/>
                <w:sz w:val="24"/>
                <w:szCs w:val="24"/>
              </w:rPr>
              <w:t>M</w:t>
            </w:r>
            <w:r w:rsidRPr="00FA2B6F">
              <w:rPr>
                <w:rFonts w:ascii="Times New Roman" w:hAnsi="Times New Roman" w:cs="Times New Roman"/>
                <w:sz w:val="24"/>
                <w:szCs w:val="24"/>
              </w:rPr>
              <w:t>anual</w:t>
            </w:r>
            <w:r w:rsidR="00CD5108">
              <w:rPr>
                <w:rFonts w:ascii="Times New Roman" w:hAnsi="Times New Roman" w:cs="Times New Roman"/>
                <w:sz w:val="24"/>
                <w:szCs w:val="24"/>
              </w:rPr>
              <w:t>:</w:t>
            </w:r>
          </w:p>
          <w:p w14:paraId="78931640" w14:textId="77777777" w:rsidR="00CD5108" w:rsidRPr="00CD5108" w:rsidRDefault="00CD5108" w:rsidP="00CD5108">
            <w:pPr>
              <w:spacing w:before="120" w:after="120"/>
              <w:rPr>
                <w:rFonts w:ascii="Times New Roman" w:hAnsi="Times New Roman" w:cs="Times New Roman"/>
                <w:b/>
                <w:bCs/>
                <w:sz w:val="24"/>
                <w:szCs w:val="24"/>
              </w:rPr>
            </w:pPr>
            <w:r w:rsidRPr="00CD5108">
              <w:rPr>
                <w:rFonts w:ascii="Times New Roman" w:hAnsi="Times New Roman" w:cs="Times New Roman"/>
                <w:b/>
                <w:bCs/>
                <w:sz w:val="24"/>
                <w:szCs w:val="24"/>
              </w:rPr>
              <w:t>Q11: Does NAESB require whitelisting?</w:t>
            </w:r>
          </w:p>
          <w:p w14:paraId="74494BDA" w14:textId="3DC999A6" w:rsidR="00CD5108" w:rsidRPr="00FA2B6F" w:rsidRDefault="00CD5108" w:rsidP="00CD5108">
            <w:pPr>
              <w:spacing w:before="120" w:after="120"/>
              <w:rPr>
                <w:rFonts w:ascii="Times New Roman" w:hAnsi="Times New Roman" w:cs="Times New Roman"/>
                <w:sz w:val="24"/>
                <w:szCs w:val="24"/>
              </w:rPr>
            </w:pPr>
            <w:r w:rsidRPr="00CD5108">
              <w:rPr>
                <w:rFonts w:ascii="Times New Roman" w:hAnsi="Times New Roman" w:cs="Times New Roman"/>
                <w:sz w:val="24"/>
                <w:szCs w:val="24"/>
              </w:rPr>
              <w:t xml:space="preserve">A: NAESB Internet ET participants are encouraged to use whitelisting </w:t>
            </w:r>
            <w:r w:rsidRPr="00CD5108">
              <w:rPr>
                <w:rFonts w:ascii="Times New Roman" w:hAnsi="Times New Roman" w:cs="Times New Roman"/>
                <w:sz w:val="24"/>
                <w:szCs w:val="24"/>
              </w:rPr>
              <w:lastRenderedPageBreak/>
              <w:t>in EDI/EDM and FF/EDM transactions.  Whitelisting should not be considered for Customer Activities or Information Postings web sites.</w:t>
            </w:r>
          </w:p>
        </w:tc>
      </w:tr>
    </w:tbl>
    <w:p w14:paraId="6E6A60E7" w14:textId="77777777" w:rsidR="007808B7" w:rsidRPr="00FA2B6F" w:rsidRDefault="007808B7" w:rsidP="00AA5125">
      <w:pPr>
        <w:spacing w:after="0"/>
        <w:rPr>
          <w:rFonts w:ascii="Times New Roman" w:hAnsi="Times New Roman" w:cs="Times New Roman"/>
          <w:sz w:val="24"/>
          <w:szCs w:val="24"/>
        </w:rPr>
      </w:pPr>
    </w:p>
    <w:sectPr w:rsidR="007808B7" w:rsidRPr="00FA2B6F" w:rsidSect="009718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73C8E" w14:textId="77777777" w:rsidR="00AC50F9" w:rsidRDefault="00AC50F9" w:rsidP="007808B7">
      <w:pPr>
        <w:spacing w:after="0" w:line="240" w:lineRule="auto"/>
      </w:pPr>
      <w:r>
        <w:separator/>
      </w:r>
    </w:p>
  </w:endnote>
  <w:endnote w:type="continuationSeparator" w:id="0">
    <w:p w14:paraId="69E2689E" w14:textId="77777777" w:rsidR="00AC50F9" w:rsidRDefault="00AC50F9" w:rsidP="0078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F1D1" w14:textId="77777777" w:rsidR="00AC50F9" w:rsidRDefault="00AC50F9" w:rsidP="007808B7">
      <w:pPr>
        <w:spacing w:after="0" w:line="240" w:lineRule="auto"/>
      </w:pPr>
      <w:r>
        <w:separator/>
      </w:r>
    </w:p>
  </w:footnote>
  <w:footnote w:type="continuationSeparator" w:id="0">
    <w:p w14:paraId="0587AFBC" w14:textId="77777777" w:rsidR="00AC50F9" w:rsidRDefault="00AC50F9" w:rsidP="007808B7">
      <w:pPr>
        <w:spacing w:after="0" w:line="240" w:lineRule="auto"/>
      </w:pPr>
      <w:r>
        <w:continuationSeparator/>
      </w:r>
    </w:p>
  </w:footnote>
  <w:footnote w:id="1">
    <w:p w14:paraId="4E92884B" w14:textId="77777777" w:rsidR="007808B7" w:rsidRPr="00630A71" w:rsidRDefault="007808B7" w:rsidP="007808B7">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1"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2">
    <w:p w14:paraId="66837CFC" w14:textId="77777777" w:rsidR="007808B7" w:rsidRDefault="007808B7" w:rsidP="007808B7">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2"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5987"/>
    <w:multiLevelType w:val="hybridMultilevel"/>
    <w:tmpl w:val="2F2AD34E"/>
    <w:lvl w:ilvl="0" w:tplc="DD5A4A8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8E"/>
    <w:rsid w:val="0015392C"/>
    <w:rsid w:val="00170F1D"/>
    <w:rsid w:val="00177E43"/>
    <w:rsid w:val="002D2DA0"/>
    <w:rsid w:val="0031328E"/>
    <w:rsid w:val="00314193"/>
    <w:rsid w:val="00314AAD"/>
    <w:rsid w:val="004D129F"/>
    <w:rsid w:val="0051595B"/>
    <w:rsid w:val="00525E9D"/>
    <w:rsid w:val="005339CB"/>
    <w:rsid w:val="005E7A9D"/>
    <w:rsid w:val="00663D5E"/>
    <w:rsid w:val="00754540"/>
    <w:rsid w:val="007808B7"/>
    <w:rsid w:val="009662CB"/>
    <w:rsid w:val="009718D9"/>
    <w:rsid w:val="009C6DC3"/>
    <w:rsid w:val="00A6296A"/>
    <w:rsid w:val="00AA5125"/>
    <w:rsid w:val="00AC50F9"/>
    <w:rsid w:val="00AD4629"/>
    <w:rsid w:val="00B266AA"/>
    <w:rsid w:val="00BF7712"/>
    <w:rsid w:val="00CA4357"/>
    <w:rsid w:val="00CD5108"/>
    <w:rsid w:val="00D3458C"/>
    <w:rsid w:val="00D511AF"/>
    <w:rsid w:val="00E8019E"/>
    <w:rsid w:val="00E84D87"/>
    <w:rsid w:val="00EA5994"/>
    <w:rsid w:val="00F0228E"/>
    <w:rsid w:val="00FA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599"/>
  <w15:docId w15:val="{B90B88F5-7B80-40FA-A91F-D7EF8EBF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8E"/>
    <w:pPr>
      <w:ind w:left="720"/>
      <w:contextualSpacing/>
    </w:pPr>
  </w:style>
  <w:style w:type="paragraph" w:styleId="BalloonText">
    <w:name w:val="Balloon Text"/>
    <w:basedOn w:val="Normal"/>
    <w:link w:val="BalloonTextChar"/>
    <w:uiPriority w:val="99"/>
    <w:semiHidden/>
    <w:unhideWhenUsed/>
    <w:rsid w:val="004D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F"/>
    <w:rPr>
      <w:rFonts w:ascii="Tahoma" w:hAnsi="Tahoma" w:cs="Tahoma"/>
      <w:sz w:val="16"/>
      <w:szCs w:val="16"/>
    </w:rPr>
  </w:style>
  <w:style w:type="character" w:styleId="Hyperlink">
    <w:name w:val="Hyperlink"/>
    <w:rsid w:val="007808B7"/>
    <w:rPr>
      <w:u w:val="single"/>
    </w:rPr>
  </w:style>
  <w:style w:type="character" w:styleId="FootnoteReference">
    <w:name w:val="footnote reference"/>
    <w:uiPriority w:val="99"/>
    <w:rsid w:val="007808B7"/>
    <w:rPr>
      <w:vertAlign w:val="superscript"/>
    </w:rPr>
  </w:style>
  <w:style w:type="paragraph" w:customStyle="1" w:styleId="Footnote">
    <w:name w:val="Footnote"/>
    <w:rsid w:val="007808B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us-cert.gov/ncas/alerts/TA13-088A" TargetMode="External"/><Relationship Id="rId1" Type="http://schemas.openxmlformats.org/officeDocument/2006/relationships/hyperlink" Target="https://docs.microsoft.com/en-us/dotnet/framework/wcf/feature-details/replay-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latadmin</dc:creator>
  <cp:lastModifiedBy>Veronica Thomason</cp:lastModifiedBy>
  <cp:revision>2</cp:revision>
  <cp:lastPrinted>2019-10-23T14:41:00Z</cp:lastPrinted>
  <dcterms:created xsi:type="dcterms:W3CDTF">2020-07-22T14:21:00Z</dcterms:created>
  <dcterms:modified xsi:type="dcterms:W3CDTF">2020-07-22T14:21:00Z</dcterms:modified>
</cp:coreProperties>
</file>